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05B4" w14:textId="6A256DF0" w:rsidR="00D22E3A" w:rsidRPr="00EC4E54" w:rsidRDefault="00651E34" w:rsidP="00EC4E54">
      <w:pPr>
        <w:rPr>
          <w:rFonts w:cstheme="minorHAnsi"/>
        </w:rPr>
      </w:pPr>
      <w:r w:rsidRPr="00EC4E54">
        <w:rPr>
          <w:rFonts w:cstheme="minorHAnsi"/>
        </w:rPr>
        <w:t>June 20, 2024</w:t>
      </w:r>
      <w:r w:rsidR="00F32561">
        <w:rPr>
          <w:rFonts w:cstheme="minorHAnsi"/>
        </w:rPr>
        <w:t xml:space="preserve"> Portal Submitted </w:t>
      </w:r>
      <w:r w:rsidR="00D22E3A" w:rsidRPr="00EC4E54">
        <w:rPr>
          <w:rFonts w:cstheme="minorHAnsi"/>
        </w:rPr>
        <w:t>Comments from Marc Verville:</w:t>
      </w:r>
      <w:r w:rsidRPr="00EC4E54">
        <w:rPr>
          <w:rFonts w:cstheme="minorHAnsi"/>
        </w:rPr>
        <w:t xml:space="preserve">  </w:t>
      </w:r>
    </w:p>
    <w:p w14:paraId="200D5279" w14:textId="77777777" w:rsidR="00651E34" w:rsidRPr="00EC4E54" w:rsidRDefault="00651E34" w:rsidP="00EC4E54">
      <w:pPr>
        <w:rPr>
          <w:rFonts w:cstheme="minorHAnsi"/>
        </w:rPr>
      </w:pPr>
    </w:p>
    <w:p w14:paraId="28172956" w14:textId="77777777" w:rsidR="00EC4E54" w:rsidRPr="00EC4E54" w:rsidRDefault="00EC4E54" w:rsidP="00EC4E54">
      <w:pPr>
        <w:rPr>
          <w:b/>
          <w:bCs/>
        </w:rPr>
      </w:pPr>
      <w:r w:rsidRPr="00EC4E54">
        <w:rPr>
          <w:b/>
          <w:bCs/>
        </w:rPr>
        <w:t>SB 7 - Letter of Strong Opposition - Local Government Committee 06-26-2024</w:t>
      </w:r>
    </w:p>
    <w:p w14:paraId="545F2FF8" w14:textId="77777777" w:rsidR="00EC4E54" w:rsidRDefault="00EC4E54" w:rsidP="00EC4E54"/>
    <w:p w14:paraId="6FB533C1" w14:textId="58807D99" w:rsidR="00EC4E54" w:rsidRPr="00EC4E54" w:rsidRDefault="00EC4E54" w:rsidP="00EC4E54">
      <w:r w:rsidRPr="00EC4E54">
        <w:t>Dear Assemblymembers,</w:t>
      </w:r>
    </w:p>
    <w:p w14:paraId="7A4231E1" w14:textId="77777777" w:rsidR="00EC4E54" w:rsidRDefault="00EC4E54" w:rsidP="00EC4E54"/>
    <w:p w14:paraId="3B72DA4F" w14:textId="20871BCC" w:rsidR="00EC4E54" w:rsidRPr="00EC4E54" w:rsidRDefault="00EC4E54" w:rsidP="00EC4E54">
      <w:r w:rsidRPr="00EC4E54">
        <w:t xml:space="preserve">I am writing in strong opposition to </w:t>
      </w:r>
      <w:hyperlink r:id="rId8" w:history="1">
        <w:r w:rsidRPr="00EC4E54">
          <w:rPr>
            <w:rStyle w:val="Hyperlink"/>
          </w:rPr>
          <w:t>Senate Bill 7</w:t>
        </w:r>
      </w:hyperlink>
      <w:r w:rsidRPr="00EC4E54">
        <w:t xml:space="preserve"> as revised on June 10, 2024.  </w:t>
      </w:r>
    </w:p>
    <w:p w14:paraId="402DD893" w14:textId="77777777" w:rsidR="00EC4E54" w:rsidRPr="00EC4E54" w:rsidRDefault="00EC4E54" w:rsidP="00EC4E54"/>
    <w:p w14:paraId="39DA4B01" w14:textId="77777777" w:rsidR="00EC4E54" w:rsidRPr="00EC4E54" w:rsidRDefault="00EC4E54" w:rsidP="00EC4E54">
      <w:r w:rsidRPr="00EC4E54">
        <w:t>This bill has been subject to wholesale mischaracterization as being comprised of “minor improvements" and "…technical modifications".</w:t>
      </w:r>
    </w:p>
    <w:p w14:paraId="067C49C5" w14:textId="77777777" w:rsidR="00EC4E54" w:rsidRPr="00EC4E54" w:rsidRDefault="00EC4E54" w:rsidP="00EC4E54"/>
    <w:p w14:paraId="6926CD53" w14:textId="77777777" w:rsidR="00EC4E54" w:rsidRPr="00EC4E54" w:rsidRDefault="00EC4E54" w:rsidP="00EC4E54">
      <w:r w:rsidRPr="00EC4E54">
        <w:t>The provisions in this bill are actually monumental changes to the RHNA process that will subject cities and other jurisdictions to enhanced unsupported discretionary, arbitrary, and gratuitous allocations of housing units based on special interest lobbying with the only outcomes being opportunistic profiteering by developers and the meaningless destruction of neighborhoods, their open spaces and commercial infrastructure.  Moreover, this bill strips these jurisdictions of their ability to appeal defectively determined allocations (Legislative Counsel's Digest ¶2).</w:t>
      </w:r>
    </w:p>
    <w:p w14:paraId="109FE34A" w14:textId="77777777" w:rsidR="00EC4E54" w:rsidRPr="00EC4E54" w:rsidRDefault="00EC4E54" w:rsidP="00EC4E54"/>
    <w:p w14:paraId="60DF4434" w14:textId="77777777" w:rsidR="00EC4E54" w:rsidRPr="00EC4E54" w:rsidRDefault="00EC4E54" w:rsidP="00EC4E54">
      <w:r w:rsidRPr="00EC4E54">
        <w:t>The central issues of this bill include:</w:t>
      </w:r>
    </w:p>
    <w:p w14:paraId="7048732D" w14:textId="77777777" w:rsidR="00EC4E54" w:rsidRPr="00EC4E54" w:rsidRDefault="00EC4E54" w:rsidP="00EC4E54"/>
    <w:p w14:paraId="267781F5" w14:textId="77777777" w:rsidR="00EC4E54" w:rsidRPr="00EC4E54" w:rsidRDefault="00EC4E54" w:rsidP="00EC4E54">
      <w:pPr>
        <w:pStyle w:val="ListParagraph"/>
        <w:numPr>
          <w:ilvl w:val="0"/>
          <w:numId w:val="5"/>
        </w:numPr>
        <w:spacing w:after="0" w:line="259" w:lineRule="auto"/>
        <w:ind w:left="540" w:hanging="540"/>
        <w:contextualSpacing w:val="0"/>
      </w:pPr>
      <w:r w:rsidRPr="00EC4E54">
        <w:t xml:space="preserve">Allocations to jurisdictions are somehow scientifically determined when they are in fact discretionary, </w:t>
      </w:r>
    </w:p>
    <w:p w14:paraId="7F4786B2" w14:textId="77777777" w:rsidR="00EC4E54" w:rsidRPr="00EC4E54" w:rsidRDefault="00EC4E54" w:rsidP="00EC4E54">
      <w:pPr>
        <w:pStyle w:val="ListParagraph"/>
        <w:numPr>
          <w:ilvl w:val="0"/>
          <w:numId w:val="5"/>
        </w:numPr>
        <w:spacing w:after="0" w:line="259" w:lineRule="auto"/>
        <w:ind w:left="540" w:hanging="540"/>
        <w:contextualSpacing w:val="0"/>
      </w:pPr>
      <w:r w:rsidRPr="00EC4E54">
        <w:t xml:space="preserve">Elimination of the ability of jurisdictions to appeal allocations invites abuse, </w:t>
      </w:r>
    </w:p>
    <w:p w14:paraId="13E80061" w14:textId="77777777" w:rsidR="00EC4E54" w:rsidRPr="00EC4E54" w:rsidRDefault="00EC4E54" w:rsidP="00EC4E54">
      <w:pPr>
        <w:pStyle w:val="ListParagraph"/>
        <w:numPr>
          <w:ilvl w:val="0"/>
          <w:numId w:val="5"/>
        </w:numPr>
        <w:spacing w:after="0" w:line="259" w:lineRule="auto"/>
        <w:ind w:left="540" w:hanging="540"/>
        <w:contextualSpacing w:val="0"/>
      </w:pPr>
      <w:r w:rsidRPr="00EC4E54">
        <w:t>Prohibition on consideration of the physical and financial infrastructure impacts to a city for regional allocations unaccompanied by corresponding revenue sources for that city,</w:t>
      </w:r>
    </w:p>
    <w:p w14:paraId="6B0E2844" w14:textId="77777777" w:rsidR="00EC4E54" w:rsidRPr="00EC4E54" w:rsidRDefault="00EC4E54" w:rsidP="00EC4E54">
      <w:pPr>
        <w:pStyle w:val="ListParagraph"/>
        <w:numPr>
          <w:ilvl w:val="0"/>
          <w:numId w:val="5"/>
        </w:numPr>
        <w:spacing w:after="0" w:line="259" w:lineRule="auto"/>
        <w:ind w:left="540" w:hanging="540"/>
        <w:contextualSpacing w:val="0"/>
      </w:pPr>
      <w:r w:rsidRPr="00EC4E54">
        <w:t xml:space="preserve">Elimination of consideration of existing open space zoning grossly overstates jurisdiction capacity, at high cost to the jurisdictions, and </w:t>
      </w:r>
    </w:p>
    <w:p w14:paraId="3C7B7860" w14:textId="77777777" w:rsidR="00EC4E54" w:rsidRPr="00EC4E54" w:rsidRDefault="00EC4E54" w:rsidP="00EC4E54">
      <w:pPr>
        <w:pStyle w:val="ListParagraph"/>
        <w:numPr>
          <w:ilvl w:val="0"/>
          <w:numId w:val="5"/>
        </w:numPr>
        <w:spacing w:after="0" w:line="259" w:lineRule="auto"/>
        <w:ind w:left="540" w:hanging="540"/>
        <w:contextualSpacing w:val="0"/>
      </w:pPr>
      <w:r w:rsidRPr="00EC4E54">
        <w:t>Complete absence of any robust economic theory or evidence supporting the notion that unplanned, opportunistic density will create, at some indeterminate period in the future, any reality of improved housing affordability.  Moreover, there is significant robust economic research (noted below) indicating no impact to increasing affordability of simple market rate supply.  In fact, this density (which is overwhelmingly market rate) will only result in accelerated gentrification, which is the opposite intent of this legislature!</w:t>
      </w:r>
    </w:p>
    <w:p w14:paraId="67C5CBA5" w14:textId="77777777" w:rsidR="00EC4E54" w:rsidRPr="00EC4E54" w:rsidRDefault="00EC4E54" w:rsidP="00EC4E54"/>
    <w:p w14:paraId="06749ECB" w14:textId="77777777" w:rsidR="00EC4E54" w:rsidRPr="00EC4E54" w:rsidRDefault="00EC4E54" w:rsidP="00EC4E54">
      <w:pPr>
        <w:pStyle w:val="ListParagraph"/>
        <w:numPr>
          <w:ilvl w:val="0"/>
          <w:numId w:val="4"/>
        </w:numPr>
        <w:spacing w:after="0" w:line="259" w:lineRule="auto"/>
        <w:ind w:left="360"/>
        <w:contextualSpacing w:val="0"/>
        <w:rPr>
          <w:b/>
          <w:bCs/>
        </w:rPr>
      </w:pPr>
      <w:r w:rsidRPr="00EC4E54">
        <w:rPr>
          <w:b/>
          <w:bCs/>
        </w:rPr>
        <w:t>In the 6</w:t>
      </w:r>
      <w:r w:rsidRPr="00EC4E54">
        <w:rPr>
          <w:b/>
          <w:bCs/>
          <w:vertAlign w:val="superscript"/>
        </w:rPr>
        <w:t>th</w:t>
      </w:r>
      <w:r w:rsidRPr="00EC4E54">
        <w:rPr>
          <w:b/>
          <w:bCs/>
        </w:rPr>
        <w:t xml:space="preserve"> Cycle, the Southern California Association of Governments (SCAG) employed entirely discretionary processes to allocate units to jurisdictions representing 47% of the state’s population.   The source documentation from their iterative allocation process drafts has provided the corroborating data. </w:t>
      </w:r>
    </w:p>
    <w:p w14:paraId="42FC72A4" w14:textId="77777777" w:rsidR="00EC4E54" w:rsidRPr="00EC4E54" w:rsidRDefault="00EC4E54" w:rsidP="00EC4E54">
      <w:pPr>
        <w:ind w:left="360"/>
      </w:pPr>
    </w:p>
    <w:p w14:paraId="69C6CD73" w14:textId="77777777" w:rsidR="00EC4E54" w:rsidRPr="00EC4E54" w:rsidRDefault="00EC4E54" w:rsidP="00EC4E54">
      <w:pPr>
        <w:ind w:left="360"/>
      </w:pPr>
      <w:r w:rsidRPr="00EC4E54">
        <w:t xml:space="preserve">From a housing affordability policy perspective, this process has eliminated any and all integrity in the unit allocations.  </w:t>
      </w:r>
    </w:p>
    <w:p w14:paraId="0AC4A6BF" w14:textId="77777777" w:rsidR="00EC4E54" w:rsidRPr="00EC4E54" w:rsidRDefault="00EC4E54" w:rsidP="00EC4E54">
      <w:pPr>
        <w:ind w:left="360"/>
      </w:pPr>
    </w:p>
    <w:p w14:paraId="353DAB6E" w14:textId="77777777" w:rsidR="00EC4E54" w:rsidRPr="00EC4E54" w:rsidRDefault="00EC4E54" w:rsidP="00EC4E54">
      <w:pPr>
        <w:ind w:left="360"/>
      </w:pPr>
      <w:r w:rsidRPr="00EC4E54">
        <w:t>For “Projected Need”, SCAG simply repurposed the 5</w:t>
      </w:r>
      <w:r w:rsidRPr="00EC4E54">
        <w:rPr>
          <w:vertAlign w:val="superscript"/>
        </w:rPr>
        <w:t>th</w:t>
      </w:r>
      <w:r w:rsidRPr="00EC4E54">
        <w:t xml:space="preserve"> Cycle allocations </w:t>
      </w:r>
      <w:proofErr w:type="spellStart"/>
      <w:r w:rsidRPr="00EC4E54">
        <w:t>en</w:t>
      </w:r>
      <w:proofErr w:type="spellEnd"/>
      <w:r w:rsidRPr="00EC4E54">
        <w:t xml:space="preserve"> masse and relabeled them as the “Projected Need” for the 6</w:t>
      </w:r>
      <w:r w:rsidRPr="00EC4E54">
        <w:rPr>
          <w:vertAlign w:val="superscript"/>
        </w:rPr>
        <w:t>th</w:t>
      </w:r>
      <w:r w:rsidRPr="00EC4E54">
        <w:t xml:space="preserve"> Cycle.  While there was some jurisdiction-by-jurisdiction variation, the correlation across all 197 SCAG jurisdictions of the total 5</w:t>
      </w:r>
      <w:r w:rsidRPr="00EC4E54">
        <w:rPr>
          <w:vertAlign w:val="superscript"/>
        </w:rPr>
        <w:t>th</w:t>
      </w:r>
      <w:r w:rsidRPr="00EC4E54">
        <w:t xml:space="preserve"> Cycle allocations to the 6</w:t>
      </w:r>
      <w:r w:rsidRPr="00EC4E54">
        <w:rPr>
          <w:vertAlign w:val="superscript"/>
        </w:rPr>
        <w:t>th</w:t>
      </w:r>
      <w:r w:rsidRPr="00EC4E54">
        <w:t xml:space="preserve"> Cycle “Projected </w:t>
      </w:r>
      <w:r w:rsidRPr="00EC4E54">
        <w:lastRenderedPageBreak/>
        <w:t>Need” was 0.98 (almost a perfect 1.0).  This was done despite clear demographic trends at the time (2019) indicating that the prior cycle growth projections were completely obsolete.  No audit of those carryover projections for continuing relevance was ever attempted.</w:t>
      </w:r>
    </w:p>
    <w:p w14:paraId="19E65DBA" w14:textId="77777777" w:rsidR="00EC4E54" w:rsidRPr="00EC4E54" w:rsidRDefault="00EC4E54" w:rsidP="00EC4E54">
      <w:pPr>
        <w:ind w:left="360"/>
      </w:pPr>
    </w:p>
    <w:p w14:paraId="35A655FA" w14:textId="77777777" w:rsidR="00EC4E54" w:rsidRPr="00EC4E54" w:rsidRDefault="00EC4E54" w:rsidP="00EC4E54">
      <w:pPr>
        <w:ind w:left="360"/>
      </w:pPr>
      <w:r w:rsidRPr="00EC4E54">
        <w:t xml:space="preserve">For “Existing Need”, SCAG demonstrated the completely discretionary and subjective nature of this entire category of allocations by moving 124,000 units across 169 (86%) of the 197 SCAG jurisdictions in the space of about 2 ½ weeks(!).  This action negated the entire systemic process outcome of the prior 12 or so months.  This wholesale discretionary reallocation was in response to lobbying by certain political advocacy organizations.     </w:t>
      </w:r>
    </w:p>
    <w:p w14:paraId="493D3482" w14:textId="77777777" w:rsidR="00EC4E54" w:rsidRPr="00EC4E54" w:rsidRDefault="00EC4E54" w:rsidP="00EC4E54">
      <w:pPr>
        <w:ind w:left="360"/>
      </w:pPr>
    </w:p>
    <w:p w14:paraId="4C142D27" w14:textId="77777777" w:rsidR="00EC4E54" w:rsidRPr="00EC4E54" w:rsidRDefault="00EC4E54" w:rsidP="00EC4E54">
      <w:pPr>
        <w:ind w:left="360"/>
      </w:pPr>
      <w:r w:rsidRPr="00EC4E54">
        <w:t>It should be noted that the issues present in SCAG were not isolated among COGS in the state.</w:t>
      </w:r>
    </w:p>
    <w:p w14:paraId="3D150769" w14:textId="77777777" w:rsidR="00EC4E54" w:rsidRPr="00EC4E54" w:rsidRDefault="00EC4E54" w:rsidP="00EC4E54">
      <w:pPr>
        <w:ind w:left="360"/>
      </w:pPr>
    </w:p>
    <w:p w14:paraId="67C4D0B1" w14:textId="77777777" w:rsidR="00EC4E54" w:rsidRPr="00EC4E54" w:rsidRDefault="00EC4E54" w:rsidP="00EC4E54">
      <w:pPr>
        <w:pStyle w:val="ListParagraph"/>
        <w:numPr>
          <w:ilvl w:val="0"/>
          <w:numId w:val="4"/>
        </w:numPr>
        <w:spacing w:after="0" w:line="259" w:lineRule="auto"/>
        <w:ind w:left="360"/>
        <w:contextualSpacing w:val="0"/>
        <w:rPr>
          <w:b/>
          <w:bCs/>
        </w:rPr>
      </w:pPr>
      <w:r w:rsidRPr="00EC4E54">
        <w:rPr>
          <w:b/>
          <w:bCs/>
        </w:rPr>
        <w:t>The provisions in this bill prohibiting a city or county from filing an objection to the regional housing need determination removes any remaining accountability for special interest influence and manipulation of regional allocations from the entire process.  Given the process abuse evident in the 6</w:t>
      </w:r>
      <w:r w:rsidRPr="00EC4E54">
        <w:rPr>
          <w:b/>
          <w:bCs/>
          <w:vertAlign w:val="superscript"/>
        </w:rPr>
        <w:t>th</w:t>
      </w:r>
      <w:r w:rsidRPr="00EC4E54">
        <w:rPr>
          <w:b/>
          <w:bCs/>
        </w:rPr>
        <w:t xml:space="preserve"> Cycle allocation process in SCAG, this prohibition incentivizes non-productive, non-systematic, and opportunistic behavior which will ultimately overwhelms local infrastructure and is destructive of local government finances.</w:t>
      </w:r>
    </w:p>
    <w:p w14:paraId="0486F8FC" w14:textId="77777777" w:rsidR="00EC4E54" w:rsidRPr="00EC4E54" w:rsidRDefault="00EC4E54" w:rsidP="00EC4E54">
      <w:pPr>
        <w:rPr>
          <w:b/>
          <w:bCs/>
        </w:rPr>
      </w:pPr>
    </w:p>
    <w:p w14:paraId="36627C3D" w14:textId="77777777" w:rsidR="00EC4E54" w:rsidRPr="00EC4E54" w:rsidRDefault="00EC4E54" w:rsidP="00EC4E54">
      <w:pPr>
        <w:pStyle w:val="ListParagraph"/>
        <w:numPr>
          <w:ilvl w:val="0"/>
          <w:numId w:val="4"/>
        </w:numPr>
        <w:spacing w:after="0" w:line="259" w:lineRule="auto"/>
        <w:ind w:left="360"/>
        <w:contextualSpacing w:val="0"/>
        <w:rPr>
          <w:b/>
          <w:bCs/>
        </w:rPr>
      </w:pPr>
      <w:r w:rsidRPr="00EC4E54">
        <w:rPr>
          <w:b/>
          <w:bCs/>
        </w:rPr>
        <w:t xml:space="preserve">The provisions in this bill prohibiting consideration of the physical and financial infrastructure impacts to a city for regional allocations unaccompanied by corresponding property tax revenue enhancement for the impacted city is gratuitously destructive of local government finances and will supercharge increases in cost of living and gentrification.  </w:t>
      </w:r>
      <w:r w:rsidRPr="00EC4E54">
        <w:t>As noted by California Forward in their analysis below, the legislature has not addressed the property tax structure that deprives cities of the vast majority of any property tax receipt increases that new development provides.  This will lead to general tax increases that increase the cost of living and thus supercharge gentrification pressures on jurisdictions.</w:t>
      </w:r>
    </w:p>
    <w:p w14:paraId="7B45043A" w14:textId="77777777" w:rsidR="00EC4E54" w:rsidRPr="00EC4E54" w:rsidRDefault="00EC4E54" w:rsidP="00EC4E54">
      <w:pPr>
        <w:ind w:left="360"/>
        <w:rPr>
          <w:b/>
          <w:bCs/>
        </w:rPr>
      </w:pPr>
    </w:p>
    <w:p w14:paraId="21C01DA2" w14:textId="77777777" w:rsidR="00EC4E54" w:rsidRPr="00EC4E54" w:rsidRDefault="00EC4E54" w:rsidP="00EC4E54">
      <w:pPr>
        <w:ind w:left="720"/>
        <w:rPr>
          <w:i/>
          <w:iCs/>
        </w:rPr>
      </w:pPr>
      <w:r w:rsidRPr="00EC4E54">
        <w:rPr>
          <w:i/>
          <w:iCs/>
        </w:rPr>
        <w:t>Removing Fiscal Barriers to Housing Production - Gateway Cities Report - CA Forward 06-23-2023</w:t>
      </w:r>
    </w:p>
    <w:p w14:paraId="623D8D5E" w14:textId="77777777" w:rsidR="00EC4E54" w:rsidRPr="00EC4E54" w:rsidRDefault="00000000" w:rsidP="00EC4E54">
      <w:pPr>
        <w:ind w:left="720"/>
        <w:rPr>
          <w:i/>
          <w:iCs/>
        </w:rPr>
      </w:pPr>
      <w:hyperlink r:id="rId9" w:history="1">
        <w:r w:rsidR="00EC4E54" w:rsidRPr="00EC4E54">
          <w:rPr>
            <w:rStyle w:val="Hyperlink"/>
            <w:i/>
            <w:iCs/>
          </w:rPr>
          <w:t>https://cafwd.org/resources/removing-fiscal-barriers-to-housing-production/</w:t>
        </w:r>
      </w:hyperlink>
    </w:p>
    <w:p w14:paraId="6E652DDB" w14:textId="77777777" w:rsidR="00EC4E54" w:rsidRPr="00EC4E54" w:rsidRDefault="00EC4E54" w:rsidP="00EC4E54">
      <w:pPr>
        <w:ind w:left="360"/>
        <w:rPr>
          <w:i/>
          <w:iCs/>
        </w:rPr>
      </w:pPr>
    </w:p>
    <w:p w14:paraId="3828677D" w14:textId="77777777" w:rsidR="00EC4E54" w:rsidRPr="00EC4E54" w:rsidRDefault="00EC4E54" w:rsidP="00EC4E54">
      <w:pPr>
        <w:pStyle w:val="ListParagraph"/>
        <w:numPr>
          <w:ilvl w:val="0"/>
          <w:numId w:val="4"/>
        </w:numPr>
        <w:spacing w:after="0" w:line="259" w:lineRule="auto"/>
        <w:ind w:left="360"/>
        <w:contextualSpacing w:val="0"/>
        <w:rPr>
          <w:b/>
          <w:bCs/>
        </w:rPr>
      </w:pPr>
      <w:r w:rsidRPr="00EC4E54">
        <w:rPr>
          <w:b/>
          <w:bCs/>
        </w:rPr>
        <w:t xml:space="preserve">The provisions in this bill that supercharge the unplanned opportunistic density will be devastating to communities throughout the state, further incentivizing the biased, discretionary, unchecked, and counter-productive allocation determinations noted above.  </w:t>
      </w:r>
    </w:p>
    <w:p w14:paraId="0116ED99" w14:textId="77777777" w:rsidR="00EC4E54" w:rsidRPr="00EC4E54" w:rsidRDefault="00EC4E54" w:rsidP="00EC4E54"/>
    <w:p w14:paraId="67A5A91F" w14:textId="77777777" w:rsidR="00EC4E54" w:rsidRPr="00EC4E54" w:rsidRDefault="00EC4E54" w:rsidP="00EC4E54">
      <w:pPr>
        <w:ind w:left="360"/>
      </w:pPr>
      <w:r w:rsidRPr="00EC4E54">
        <w:t xml:space="preserve">Specifically, the broad provisions of §3(e)(2)(B) that instructs local councils of governments to ignore existing zoning ordinances and land use restrictions of a locality when determining allocation levels is an invitation for rampant abuse and over-allocation of units, given the actual unstructured and subjective process.  Use of critical open spaces that serve the community and cannot be rezoned will overstate the capacity of a jurisdiction to absorb density and will exacerbate the already unachievable infrastructure costs a jurisdiction will be responsible for without significantly raising the cost of living for entire communities.  </w:t>
      </w:r>
    </w:p>
    <w:p w14:paraId="59560059" w14:textId="77777777" w:rsidR="00EC4E54" w:rsidRPr="00EC4E54" w:rsidRDefault="00EC4E54" w:rsidP="00EC4E54">
      <w:pPr>
        <w:ind w:left="360"/>
      </w:pPr>
    </w:p>
    <w:p w14:paraId="535845D3" w14:textId="77777777" w:rsidR="00EC4E54" w:rsidRPr="00EC4E54" w:rsidRDefault="00EC4E54" w:rsidP="00EC4E54">
      <w:pPr>
        <w:ind w:left="360"/>
      </w:pPr>
      <w:r w:rsidRPr="00EC4E54">
        <w:t>It should also be clear that the nominal allocations made by a COG in no way reflect what is getting built.  The 6</w:t>
      </w:r>
      <w:r w:rsidRPr="00EC4E54">
        <w:rPr>
          <w:vertAlign w:val="superscript"/>
        </w:rPr>
        <w:t>th</w:t>
      </w:r>
      <w:r w:rsidRPr="00EC4E54">
        <w:t xml:space="preserve"> Cycle has an overall inclusionary rate of around 60% while what is getting built is closer to 10% with density bonuses.  So, RHNA is stated at less than 1 market rate unit per affordable unit while the reality is that as many as 9 market rate units for each affordable unit are getting built.  The additional 8 units are not required to be either disclosed in the Environmental Impact Reports or the Housing Elements.  They do have a profound impact on city finances, especially since cities keep only a small fraction of any incremental property taxes generated by the new development.  </w:t>
      </w:r>
    </w:p>
    <w:p w14:paraId="2BF465D3" w14:textId="77777777" w:rsidR="00EC4E54" w:rsidRPr="00EC4E54" w:rsidRDefault="00EC4E54" w:rsidP="00EC4E54">
      <w:pPr>
        <w:ind w:left="360"/>
      </w:pPr>
    </w:p>
    <w:p w14:paraId="59F31735" w14:textId="77777777" w:rsidR="00EC4E54" w:rsidRPr="00EC4E54" w:rsidRDefault="00EC4E54" w:rsidP="00EC4E54">
      <w:pPr>
        <w:pStyle w:val="ListParagraph"/>
        <w:numPr>
          <w:ilvl w:val="0"/>
          <w:numId w:val="4"/>
        </w:numPr>
        <w:spacing w:after="0" w:line="259" w:lineRule="auto"/>
        <w:ind w:left="360"/>
        <w:contextualSpacing w:val="0"/>
        <w:rPr>
          <w:b/>
          <w:bCs/>
        </w:rPr>
      </w:pPr>
      <w:r w:rsidRPr="00EC4E54">
        <w:rPr>
          <w:b/>
          <w:bCs/>
        </w:rPr>
        <w:t>Unplanned, opportunistic density cannot create, at any point in time, improved housing affordability in a jurisdiction.</w:t>
      </w:r>
      <w:r w:rsidRPr="00EC4E54">
        <w:t xml:space="preserve">  This was the basis for the invalidation of SB9, specifically.  But, more broadly, it critically requires the impossible assumption that developers and investors will continue to invest in projects even as the revenues from each additional project declines as local market rents become more “affordable”.  There is absolutely zero evidence for that behavior in the real world.  Developers and investors stop at the point of market saturation to keep pricing high and to avoid taking accounting (and cash flow) losses on their portfolios of existing projects.  </w:t>
      </w:r>
    </w:p>
    <w:p w14:paraId="5DCE3800" w14:textId="77777777" w:rsidR="00EC4E54" w:rsidRPr="00EC4E54" w:rsidRDefault="00EC4E54" w:rsidP="00EC4E54">
      <w:pPr>
        <w:ind w:left="360"/>
      </w:pPr>
    </w:p>
    <w:p w14:paraId="4B47397B" w14:textId="77777777" w:rsidR="00EC4E54" w:rsidRPr="00EC4E54" w:rsidRDefault="00EC4E54" w:rsidP="00EC4E54">
      <w:pPr>
        <w:ind w:left="360"/>
      </w:pPr>
      <w:r w:rsidRPr="00EC4E54">
        <w:rPr>
          <w:b/>
          <w:bCs/>
        </w:rPr>
        <w:t>Harvard’s Joint Center for Housing Studies (JCHS)</w:t>
      </w:r>
      <w:r w:rsidRPr="00EC4E54">
        <w:t xml:space="preserve"> recently published their study noting that “Our results imply that new suburban housing supply has little effect on urban housing affordability or on the welfare of low-income urban households." </w:t>
      </w:r>
    </w:p>
    <w:p w14:paraId="06750997" w14:textId="77777777" w:rsidR="00EC4E54" w:rsidRPr="00EC4E54" w:rsidRDefault="00EC4E54" w:rsidP="00EC4E54">
      <w:pPr>
        <w:ind w:left="360"/>
      </w:pPr>
    </w:p>
    <w:p w14:paraId="52FD9A87" w14:textId="77777777" w:rsidR="00EC4E54" w:rsidRPr="00EC4E54" w:rsidRDefault="00EC4E54" w:rsidP="00EC4E54">
      <w:pPr>
        <w:ind w:left="720"/>
        <w:rPr>
          <w:i/>
          <w:iCs/>
        </w:rPr>
      </w:pPr>
      <w:r w:rsidRPr="00EC4E54">
        <w:rPr>
          <w:i/>
          <w:iCs/>
        </w:rPr>
        <w:t>Suburban Housing and Urban Affordability - Evidence from Residential Vacancy Chains - Harvard JCHS 04-18-2024</w:t>
      </w:r>
    </w:p>
    <w:p w14:paraId="661E217B" w14:textId="77777777" w:rsidR="00EC4E54" w:rsidRPr="00EC4E54" w:rsidRDefault="00000000" w:rsidP="00EC4E54">
      <w:pPr>
        <w:ind w:left="720"/>
        <w:rPr>
          <w:i/>
          <w:iCs/>
        </w:rPr>
      </w:pPr>
      <w:hyperlink r:id="rId10" w:history="1">
        <w:r w:rsidR="00EC4E54" w:rsidRPr="00EC4E54">
          <w:rPr>
            <w:rStyle w:val="Hyperlink"/>
            <w:i/>
            <w:iCs/>
          </w:rPr>
          <w:t>https://valentinegilbert.github.io/files/gilbert_jmp.pdf</w:t>
        </w:r>
      </w:hyperlink>
    </w:p>
    <w:p w14:paraId="2CF74FDD" w14:textId="77777777" w:rsidR="00EC4E54" w:rsidRPr="00EC4E54" w:rsidRDefault="00EC4E54" w:rsidP="00EC4E54">
      <w:pPr>
        <w:ind w:left="720"/>
        <w:rPr>
          <w:i/>
          <w:iCs/>
        </w:rPr>
      </w:pPr>
      <w:r w:rsidRPr="00EC4E54">
        <w:rPr>
          <w:i/>
          <w:iCs/>
        </w:rPr>
        <w:t>Summary:</w:t>
      </w:r>
    </w:p>
    <w:p w14:paraId="26BFA582" w14:textId="77777777" w:rsidR="00EC4E54" w:rsidRPr="00EC4E54" w:rsidRDefault="00000000" w:rsidP="00EC4E54">
      <w:pPr>
        <w:ind w:left="720"/>
        <w:rPr>
          <w:i/>
          <w:iCs/>
        </w:rPr>
      </w:pPr>
      <w:hyperlink r:id="rId11" w:history="1">
        <w:r w:rsidR="00EC4E54" w:rsidRPr="00EC4E54">
          <w:rPr>
            <w:rStyle w:val="Hyperlink"/>
            <w:i/>
            <w:iCs/>
          </w:rPr>
          <w:t>https://www.jchs.harvard.edu/research-areas/working-papers/suburban-housing-and-urban-affordability-evidence-residential-vacancy</w:t>
        </w:r>
      </w:hyperlink>
    </w:p>
    <w:p w14:paraId="213D2600" w14:textId="77777777" w:rsidR="00EC4E54" w:rsidRPr="00EC4E54" w:rsidRDefault="00EC4E54" w:rsidP="00EC4E54">
      <w:pPr>
        <w:ind w:left="360"/>
      </w:pPr>
      <w:r w:rsidRPr="00EC4E54">
        <w:rPr>
          <w:i/>
          <w:iCs/>
        </w:rPr>
        <w:t xml:space="preserve">  </w:t>
      </w:r>
    </w:p>
    <w:p w14:paraId="41E78333" w14:textId="77777777" w:rsidR="00EC4E54" w:rsidRPr="00EC4E54" w:rsidRDefault="00EC4E54" w:rsidP="00EC4E54">
      <w:pPr>
        <w:ind w:left="360"/>
      </w:pPr>
      <w:r w:rsidRPr="00EC4E54">
        <w:rPr>
          <w:b/>
          <w:bCs/>
        </w:rPr>
        <w:t>The University of Kansas’ Department of Urban Planning</w:t>
      </w:r>
      <w:r w:rsidRPr="00EC4E54">
        <w:t xml:space="preserve"> has also released a comprehensive analysis that echoes the Harvard JCHS conclusions: “When looking at the number of housing units available, it becomes clear there is no overall shortage of housing units available.  The numbers also showed that nearly all metropolitan areas have sufficient units for owner occupancy. But nearly all have shortages of rental units affordable for very low-income renter households.”</w:t>
      </w:r>
    </w:p>
    <w:p w14:paraId="69A11404" w14:textId="77777777" w:rsidR="00EC4E54" w:rsidRPr="00EC4E54" w:rsidRDefault="00EC4E54" w:rsidP="00EC4E54">
      <w:pPr>
        <w:ind w:left="360"/>
      </w:pPr>
    </w:p>
    <w:p w14:paraId="6389CB25" w14:textId="77777777" w:rsidR="00EC4E54" w:rsidRPr="00EC4E54" w:rsidRDefault="00EC4E54" w:rsidP="00EC4E54">
      <w:pPr>
        <w:ind w:left="720"/>
        <w:rPr>
          <w:i/>
          <w:iCs/>
        </w:rPr>
      </w:pPr>
      <w:r w:rsidRPr="00EC4E54">
        <w:rPr>
          <w:i/>
          <w:iCs/>
        </w:rPr>
        <w:t>Where Is the Housing Shortage - Dept of Urban Planning - U of Kansas 01-14-2024</w:t>
      </w:r>
    </w:p>
    <w:p w14:paraId="384347A6" w14:textId="77777777" w:rsidR="00EC4E54" w:rsidRPr="00EC4E54" w:rsidRDefault="00000000" w:rsidP="00EC4E54">
      <w:pPr>
        <w:ind w:left="720"/>
        <w:rPr>
          <w:i/>
          <w:iCs/>
        </w:rPr>
      </w:pPr>
      <w:hyperlink r:id="rId12" w:history="1">
        <w:r w:rsidR="00EC4E54" w:rsidRPr="00EC4E54">
          <w:rPr>
            <w:rStyle w:val="Hyperlink"/>
            <w:i/>
            <w:iCs/>
          </w:rPr>
          <w:t>https://doi.org/10.1080/10511482.2024.2334011</w:t>
        </w:r>
      </w:hyperlink>
    </w:p>
    <w:p w14:paraId="082072CA" w14:textId="77777777" w:rsidR="00EC4E54" w:rsidRPr="00EC4E54" w:rsidRDefault="00EC4E54" w:rsidP="00EC4E54">
      <w:pPr>
        <w:ind w:left="720"/>
        <w:rPr>
          <w:i/>
          <w:iCs/>
        </w:rPr>
      </w:pPr>
      <w:r w:rsidRPr="00EC4E54">
        <w:rPr>
          <w:i/>
          <w:iCs/>
        </w:rPr>
        <w:t>Summary:</w:t>
      </w:r>
    </w:p>
    <w:p w14:paraId="5FE06DCC" w14:textId="77777777" w:rsidR="00EC4E54" w:rsidRPr="00EC4E54" w:rsidRDefault="00000000" w:rsidP="00EC4E54">
      <w:pPr>
        <w:ind w:left="720"/>
        <w:rPr>
          <w:i/>
          <w:iCs/>
        </w:rPr>
      </w:pPr>
      <w:hyperlink r:id="rId13" w:history="1">
        <w:r w:rsidR="00EC4E54" w:rsidRPr="00EC4E54">
          <w:rPr>
            <w:rStyle w:val="Hyperlink"/>
            <w:i/>
            <w:iCs/>
          </w:rPr>
          <w:t>https://phys.org/news/2024-06-housing-shortage.html</w:t>
        </w:r>
      </w:hyperlink>
    </w:p>
    <w:p w14:paraId="384AFBA5" w14:textId="77777777" w:rsidR="00EC4E54" w:rsidRPr="00EC4E54" w:rsidRDefault="00EC4E54" w:rsidP="00EC4E54">
      <w:pPr>
        <w:ind w:left="360"/>
      </w:pPr>
    </w:p>
    <w:p w14:paraId="2FA4C781" w14:textId="77777777" w:rsidR="00EC4E54" w:rsidRPr="00EC4E54" w:rsidRDefault="00EC4E54" w:rsidP="00EC4E54">
      <w:pPr>
        <w:rPr>
          <w:b/>
          <w:bCs/>
        </w:rPr>
      </w:pPr>
      <w:r w:rsidRPr="00EC4E54">
        <w:rPr>
          <w:b/>
          <w:bCs/>
        </w:rPr>
        <w:t>Stated differently, the affordability crisis is an income gap issue, not a supply issue.  The RHNA construct is adding fuel to the massive gentrification fire by overwhelmingly incentivizing market rate luxury development that is up to 12x the stated RHNA unit allocations and which dwarfs the impact of any token inclusionary affordable units.</w:t>
      </w:r>
    </w:p>
    <w:p w14:paraId="5F865C2E" w14:textId="77777777" w:rsidR="00EC4E54" w:rsidRPr="00EC4E54" w:rsidRDefault="00EC4E54" w:rsidP="00EC4E54">
      <w:pPr>
        <w:ind w:left="360"/>
      </w:pPr>
    </w:p>
    <w:p w14:paraId="37310648" w14:textId="77777777" w:rsidR="00EC4E54" w:rsidRPr="00EC4E54" w:rsidRDefault="00EC4E54" w:rsidP="00EC4E54">
      <w:r w:rsidRPr="00EC4E54">
        <w:t xml:space="preserve">SB 7 amplifies RHNA’s already overwhelming process defects by orders of magnitude with no prospect of improving any stated legislative outcome objectives.  The issues noted above justify defeating this very poorly conceived, and potentially destructive bill.  </w:t>
      </w:r>
    </w:p>
    <w:p w14:paraId="6ECACC39" w14:textId="77777777" w:rsidR="00EC4E54" w:rsidRPr="00EC4E54" w:rsidRDefault="00EC4E54" w:rsidP="00EC4E54"/>
    <w:p w14:paraId="75099F44" w14:textId="77777777" w:rsidR="00EC4E54" w:rsidRPr="00EC4E54" w:rsidRDefault="00EC4E54" w:rsidP="00EC4E54">
      <w:r w:rsidRPr="00EC4E54">
        <w:t>Thank you,</w:t>
      </w:r>
    </w:p>
    <w:p w14:paraId="19887A2A" w14:textId="23C3692A" w:rsidR="00EC4E54" w:rsidRDefault="00EC4E54" w:rsidP="00EC4E54">
      <w:r w:rsidRPr="00EC4E54">
        <w:t>Marc Verville</w:t>
      </w:r>
      <w:r>
        <w:t xml:space="preserve"> </w:t>
      </w:r>
    </w:p>
    <w:p w14:paraId="21813630" w14:textId="040D9E8F" w:rsidR="008C5189" w:rsidRPr="00EC4E54" w:rsidRDefault="00EC4E54" w:rsidP="00EC4E54">
      <w:r w:rsidRPr="00EC4E54">
        <w:t>Santa Monica, CA</w:t>
      </w:r>
    </w:p>
    <w:sectPr w:rsidR="008C5189" w:rsidRPr="00EC4E54" w:rsidSect="00F32561">
      <w:headerReference w:type="default" r:id="rId14"/>
      <w:footerReference w:type="default" r:id="rId15"/>
      <w:pgSz w:w="12240" w:h="15840" w:code="1"/>
      <w:pgMar w:top="576" w:right="864" w:bottom="36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CEE48" w14:textId="77777777" w:rsidR="00A22FAE" w:rsidRDefault="00A22FAE" w:rsidP="00EE181B">
      <w:r>
        <w:separator/>
      </w:r>
    </w:p>
  </w:endnote>
  <w:endnote w:type="continuationSeparator" w:id="0">
    <w:p w14:paraId="1CF8CBA6" w14:textId="77777777" w:rsidR="00A22FAE" w:rsidRDefault="00A22FAE" w:rsidP="00EE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794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14D4FFBF" w14:textId="36D17DC4" w:rsidR="00F32561" w:rsidRPr="00F32561" w:rsidRDefault="00F32561" w:rsidP="00F32561">
            <w:pPr>
              <w:pStyle w:val="Footer"/>
              <w:jc w:val="right"/>
              <w:rPr>
                <w:i/>
                <w:iCs/>
              </w:rPr>
            </w:pPr>
            <w:r w:rsidRPr="00F32561">
              <w:rPr>
                <w:i/>
                <w:iCs/>
              </w:rPr>
              <w:t xml:space="preserve">Page </w:t>
            </w:r>
            <w:r w:rsidRPr="00F32561">
              <w:rPr>
                <w:b/>
                <w:bCs/>
                <w:i/>
                <w:iCs/>
              </w:rPr>
              <w:fldChar w:fldCharType="begin"/>
            </w:r>
            <w:r w:rsidRPr="00F32561">
              <w:rPr>
                <w:b/>
                <w:bCs/>
                <w:i/>
                <w:iCs/>
              </w:rPr>
              <w:instrText xml:space="preserve"> PAGE </w:instrText>
            </w:r>
            <w:r w:rsidRPr="00F32561">
              <w:rPr>
                <w:b/>
                <w:bCs/>
                <w:i/>
                <w:iCs/>
              </w:rPr>
              <w:fldChar w:fldCharType="separate"/>
            </w:r>
            <w:r w:rsidRPr="00F32561">
              <w:rPr>
                <w:b/>
                <w:bCs/>
                <w:i/>
                <w:iCs/>
                <w:noProof/>
              </w:rPr>
              <w:t>2</w:t>
            </w:r>
            <w:r w:rsidRPr="00F32561">
              <w:rPr>
                <w:b/>
                <w:bCs/>
                <w:i/>
                <w:iCs/>
              </w:rPr>
              <w:fldChar w:fldCharType="end"/>
            </w:r>
            <w:r w:rsidRPr="00F32561">
              <w:rPr>
                <w:i/>
                <w:iCs/>
              </w:rPr>
              <w:t xml:space="preserve"> of </w:t>
            </w:r>
            <w:r w:rsidRPr="00F32561">
              <w:rPr>
                <w:b/>
                <w:bCs/>
                <w:i/>
                <w:iCs/>
              </w:rPr>
              <w:fldChar w:fldCharType="begin"/>
            </w:r>
            <w:r w:rsidRPr="00F32561">
              <w:rPr>
                <w:b/>
                <w:bCs/>
                <w:i/>
                <w:iCs/>
              </w:rPr>
              <w:instrText xml:space="preserve"> NUMPAGES  </w:instrText>
            </w:r>
            <w:r w:rsidRPr="00F32561">
              <w:rPr>
                <w:b/>
                <w:bCs/>
                <w:i/>
                <w:iCs/>
              </w:rPr>
              <w:fldChar w:fldCharType="separate"/>
            </w:r>
            <w:r w:rsidRPr="00F32561">
              <w:rPr>
                <w:b/>
                <w:bCs/>
                <w:i/>
                <w:iCs/>
                <w:noProof/>
              </w:rPr>
              <w:t>2</w:t>
            </w:r>
            <w:r w:rsidRPr="00F32561">
              <w:rPr>
                <w:b/>
                <w:bCs/>
                <w:i/>
                <w:i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3198" w14:textId="77777777" w:rsidR="00A22FAE" w:rsidRDefault="00A22FAE" w:rsidP="00EE181B">
      <w:r>
        <w:separator/>
      </w:r>
    </w:p>
  </w:footnote>
  <w:footnote w:type="continuationSeparator" w:id="0">
    <w:p w14:paraId="6F8CA5C1" w14:textId="77777777" w:rsidR="00A22FAE" w:rsidRDefault="00A22FAE" w:rsidP="00EE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882B" w14:textId="727BCF18" w:rsidR="00114A3D" w:rsidRDefault="000B47A3" w:rsidP="00114A3D">
    <w:pPr>
      <w:jc w:val="center"/>
      <w:rPr>
        <w:b/>
      </w:rPr>
    </w:pPr>
    <w:r>
      <w:rPr>
        <w:b/>
        <w:noProof/>
      </w:rPr>
      <w:drawing>
        <wp:inline distT="0" distB="0" distL="0" distR="0" wp14:anchorId="12C4B67F" wp14:editId="70D7B2C3">
          <wp:extent cx="1886630" cy="504825"/>
          <wp:effectExtent l="0" t="0" r="0" b="0"/>
          <wp:docPr id="1391666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66840" name="Picture 1391666840"/>
                  <pic:cNvPicPr/>
                </pic:nvPicPr>
                <pic:blipFill>
                  <a:blip r:embed="rId1">
                    <a:extLst>
                      <a:ext uri="{28A0092B-C50C-407E-A947-70E740481C1C}">
                        <a14:useLocalDpi xmlns:a14="http://schemas.microsoft.com/office/drawing/2010/main" val="0"/>
                      </a:ext>
                    </a:extLst>
                  </a:blip>
                  <a:stretch>
                    <a:fillRect/>
                  </a:stretch>
                </pic:blipFill>
                <pic:spPr>
                  <a:xfrm>
                    <a:off x="0" y="0"/>
                    <a:ext cx="2008955" cy="537557"/>
                  </a:xfrm>
                  <a:prstGeom prst="rect">
                    <a:avLst/>
                  </a:prstGeom>
                </pic:spPr>
              </pic:pic>
            </a:graphicData>
          </a:graphic>
        </wp:inline>
      </w:drawing>
    </w:r>
  </w:p>
  <w:p w14:paraId="358B9424" w14:textId="77777777" w:rsidR="00114A3D" w:rsidRPr="00114A3D" w:rsidRDefault="00114A3D" w:rsidP="00114A3D">
    <w:pPr>
      <w:jc w:val="center"/>
      <w:rPr>
        <w:sz w:val="20"/>
        <w:szCs w:val="20"/>
      </w:rPr>
    </w:pPr>
    <w:r w:rsidRPr="00114A3D">
      <w:rPr>
        <w:sz w:val="20"/>
        <w:szCs w:val="20"/>
      </w:rPr>
      <w:t>POB 1703, Mill Valley, CA 94942</w:t>
    </w:r>
  </w:p>
  <w:p w14:paraId="47CDD5B9" w14:textId="41B2B566" w:rsidR="00114A3D" w:rsidRDefault="00114A3D" w:rsidP="000C5321">
    <w:pPr>
      <w:jc w:val="center"/>
      <w:rPr>
        <w:sz w:val="21"/>
        <w:szCs w:val="21"/>
      </w:rPr>
    </w:pPr>
    <w:r w:rsidRPr="00114A3D">
      <w:rPr>
        <w:sz w:val="21"/>
        <w:szCs w:val="21"/>
      </w:rPr>
      <w:t>CatalystsCA.org     415-686-4375</w:t>
    </w:r>
  </w:p>
  <w:p w14:paraId="7E9C18B5" w14:textId="77777777" w:rsidR="00FE0BE8" w:rsidRPr="000C5321" w:rsidRDefault="00FE0BE8" w:rsidP="000C5321">
    <w:pPr>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0140"/>
    <w:multiLevelType w:val="multilevel"/>
    <w:tmpl w:val="430C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35170"/>
    <w:multiLevelType w:val="hybridMultilevel"/>
    <w:tmpl w:val="E852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84CE7"/>
    <w:multiLevelType w:val="hybridMultilevel"/>
    <w:tmpl w:val="051C3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C52251"/>
    <w:multiLevelType w:val="hybridMultilevel"/>
    <w:tmpl w:val="72D2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23D26"/>
    <w:multiLevelType w:val="hybridMultilevel"/>
    <w:tmpl w:val="5906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81A97"/>
    <w:multiLevelType w:val="hybridMultilevel"/>
    <w:tmpl w:val="94145724"/>
    <w:lvl w:ilvl="0" w:tplc="DD8E1B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1C08D8"/>
    <w:multiLevelType w:val="multilevel"/>
    <w:tmpl w:val="0788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82FE7"/>
    <w:multiLevelType w:val="hybridMultilevel"/>
    <w:tmpl w:val="C89ECA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82604F"/>
    <w:multiLevelType w:val="hybridMultilevel"/>
    <w:tmpl w:val="A98C099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61971441">
    <w:abstractNumId w:val="1"/>
  </w:num>
  <w:num w:numId="2" w16cid:durableId="38675697">
    <w:abstractNumId w:val="8"/>
  </w:num>
  <w:num w:numId="3" w16cid:durableId="607322522">
    <w:abstractNumId w:val="2"/>
  </w:num>
  <w:num w:numId="4" w16cid:durableId="1428967515">
    <w:abstractNumId w:val="4"/>
  </w:num>
  <w:num w:numId="5" w16cid:durableId="524100201">
    <w:abstractNumId w:val="5"/>
  </w:num>
  <w:num w:numId="6" w16cid:durableId="891383947">
    <w:abstractNumId w:val="0"/>
  </w:num>
  <w:num w:numId="7" w16cid:durableId="114494555">
    <w:abstractNumId w:val="3"/>
  </w:num>
  <w:num w:numId="8" w16cid:durableId="1591042547">
    <w:abstractNumId w:val="7"/>
  </w:num>
  <w:num w:numId="9" w16cid:durableId="984313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BC"/>
    <w:rsid w:val="00000069"/>
    <w:rsid w:val="00031BCC"/>
    <w:rsid w:val="00036012"/>
    <w:rsid w:val="00042750"/>
    <w:rsid w:val="00057AA1"/>
    <w:rsid w:val="00064798"/>
    <w:rsid w:val="00064B73"/>
    <w:rsid w:val="00072ABE"/>
    <w:rsid w:val="0008179D"/>
    <w:rsid w:val="000822C7"/>
    <w:rsid w:val="00085F58"/>
    <w:rsid w:val="00092D2E"/>
    <w:rsid w:val="00096220"/>
    <w:rsid w:val="00096D49"/>
    <w:rsid w:val="000A7126"/>
    <w:rsid w:val="000B310C"/>
    <w:rsid w:val="000B47A3"/>
    <w:rsid w:val="000C0710"/>
    <w:rsid w:val="000C5321"/>
    <w:rsid w:val="000C5E1A"/>
    <w:rsid w:val="000D2698"/>
    <w:rsid w:val="000E3075"/>
    <w:rsid w:val="000F14C0"/>
    <w:rsid w:val="00114A3D"/>
    <w:rsid w:val="00162C81"/>
    <w:rsid w:val="00177BC5"/>
    <w:rsid w:val="00185A13"/>
    <w:rsid w:val="001F1B24"/>
    <w:rsid w:val="00210985"/>
    <w:rsid w:val="00220097"/>
    <w:rsid w:val="00223B93"/>
    <w:rsid w:val="002250C8"/>
    <w:rsid w:val="002456C4"/>
    <w:rsid w:val="00257049"/>
    <w:rsid w:val="00281C7A"/>
    <w:rsid w:val="00291CC8"/>
    <w:rsid w:val="0029751C"/>
    <w:rsid w:val="002A4D35"/>
    <w:rsid w:val="002A59E0"/>
    <w:rsid w:val="002A5EBC"/>
    <w:rsid w:val="002A6088"/>
    <w:rsid w:val="002A7F43"/>
    <w:rsid w:val="002D639D"/>
    <w:rsid w:val="002D6953"/>
    <w:rsid w:val="002F1603"/>
    <w:rsid w:val="0030156A"/>
    <w:rsid w:val="00310558"/>
    <w:rsid w:val="003143E4"/>
    <w:rsid w:val="003264F6"/>
    <w:rsid w:val="003613C2"/>
    <w:rsid w:val="003725AA"/>
    <w:rsid w:val="003801E5"/>
    <w:rsid w:val="003818A8"/>
    <w:rsid w:val="003846E1"/>
    <w:rsid w:val="003929BE"/>
    <w:rsid w:val="003B71FB"/>
    <w:rsid w:val="003C5389"/>
    <w:rsid w:val="003D276E"/>
    <w:rsid w:val="003D69E7"/>
    <w:rsid w:val="003E586A"/>
    <w:rsid w:val="00400EC8"/>
    <w:rsid w:val="00424E35"/>
    <w:rsid w:val="00426412"/>
    <w:rsid w:val="0043100D"/>
    <w:rsid w:val="00433270"/>
    <w:rsid w:val="00433C2F"/>
    <w:rsid w:val="0043730D"/>
    <w:rsid w:val="004437AE"/>
    <w:rsid w:val="0045465C"/>
    <w:rsid w:val="004625FF"/>
    <w:rsid w:val="00485D8A"/>
    <w:rsid w:val="0049150C"/>
    <w:rsid w:val="00496B28"/>
    <w:rsid w:val="004A63F2"/>
    <w:rsid w:val="004A7644"/>
    <w:rsid w:val="004C340F"/>
    <w:rsid w:val="004C4E57"/>
    <w:rsid w:val="004E65B6"/>
    <w:rsid w:val="004F4BBA"/>
    <w:rsid w:val="004F784F"/>
    <w:rsid w:val="00500B20"/>
    <w:rsid w:val="00502D9B"/>
    <w:rsid w:val="005119E7"/>
    <w:rsid w:val="005250B5"/>
    <w:rsid w:val="00535148"/>
    <w:rsid w:val="00562A9D"/>
    <w:rsid w:val="005707A3"/>
    <w:rsid w:val="005936E8"/>
    <w:rsid w:val="005B0531"/>
    <w:rsid w:val="005B7211"/>
    <w:rsid w:val="005B7334"/>
    <w:rsid w:val="005C4150"/>
    <w:rsid w:val="005C6CB1"/>
    <w:rsid w:val="005D2574"/>
    <w:rsid w:val="005F5672"/>
    <w:rsid w:val="0060311F"/>
    <w:rsid w:val="0060468E"/>
    <w:rsid w:val="00620EB9"/>
    <w:rsid w:val="006360F0"/>
    <w:rsid w:val="006377E1"/>
    <w:rsid w:val="00640A91"/>
    <w:rsid w:val="00644039"/>
    <w:rsid w:val="0065064E"/>
    <w:rsid w:val="00651E34"/>
    <w:rsid w:val="006649CB"/>
    <w:rsid w:val="00676501"/>
    <w:rsid w:val="006843DA"/>
    <w:rsid w:val="006913E8"/>
    <w:rsid w:val="006930F7"/>
    <w:rsid w:val="006948C4"/>
    <w:rsid w:val="006A0AC0"/>
    <w:rsid w:val="006A5B94"/>
    <w:rsid w:val="006B0932"/>
    <w:rsid w:val="006E172B"/>
    <w:rsid w:val="006E35D1"/>
    <w:rsid w:val="00720598"/>
    <w:rsid w:val="007324C7"/>
    <w:rsid w:val="00742841"/>
    <w:rsid w:val="007514E0"/>
    <w:rsid w:val="007574AE"/>
    <w:rsid w:val="0076093E"/>
    <w:rsid w:val="007661D9"/>
    <w:rsid w:val="007762EC"/>
    <w:rsid w:val="00793F1B"/>
    <w:rsid w:val="00795213"/>
    <w:rsid w:val="007A72BF"/>
    <w:rsid w:val="007C0099"/>
    <w:rsid w:val="007D0280"/>
    <w:rsid w:val="007D2A31"/>
    <w:rsid w:val="0080693B"/>
    <w:rsid w:val="0080722A"/>
    <w:rsid w:val="00810138"/>
    <w:rsid w:val="008278BC"/>
    <w:rsid w:val="00835E66"/>
    <w:rsid w:val="008409B1"/>
    <w:rsid w:val="00863259"/>
    <w:rsid w:val="00893CD6"/>
    <w:rsid w:val="0089646D"/>
    <w:rsid w:val="008A2BF0"/>
    <w:rsid w:val="008B3CC4"/>
    <w:rsid w:val="008B6BAE"/>
    <w:rsid w:val="008C2896"/>
    <w:rsid w:val="008C5189"/>
    <w:rsid w:val="008E4EB7"/>
    <w:rsid w:val="008E5001"/>
    <w:rsid w:val="00907341"/>
    <w:rsid w:val="00957B46"/>
    <w:rsid w:val="009866B1"/>
    <w:rsid w:val="00986918"/>
    <w:rsid w:val="00991C8D"/>
    <w:rsid w:val="00994714"/>
    <w:rsid w:val="009A039F"/>
    <w:rsid w:val="009B07E4"/>
    <w:rsid w:val="009B6A87"/>
    <w:rsid w:val="009B72F9"/>
    <w:rsid w:val="009D1518"/>
    <w:rsid w:val="009E4734"/>
    <w:rsid w:val="009E5DEF"/>
    <w:rsid w:val="00A049BF"/>
    <w:rsid w:val="00A05196"/>
    <w:rsid w:val="00A11B2B"/>
    <w:rsid w:val="00A22FAE"/>
    <w:rsid w:val="00A25BC2"/>
    <w:rsid w:val="00A30E08"/>
    <w:rsid w:val="00A365E8"/>
    <w:rsid w:val="00A37EBD"/>
    <w:rsid w:val="00A43DD0"/>
    <w:rsid w:val="00A6636E"/>
    <w:rsid w:val="00A82219"/>
    <w:rsid w:val="00A826C9"/>
    <w:rsid w:val="00AC4924"/>
    <w:rsid w:val="00AC4BD7"/>
    <w:rsid w:val="00AC4DB9"/>
    <w:rsid w:val="00AD3D39"/>
    <w:rsid w:val="00AE4A55"/>
    <w:rsid w:val="00AE5DC7"/>
    <w:rsid w:val="00AE7BF8"/>
    <w:rsid w:val="00AF1850"/>
    <w:rsid w:val="00B0062C"/>
    <w:rsid w:val="00B12D9D"/>
    <w:rsid w:val="00B20CBD"/>
    <w:rsid w:val="00B21253"/>
    <w:rsid w:val="00B310EF"/>
    <w:rsid w:val="00B31988"/>
    <w:rsid w:val="00B51079"/>
    <w:rsid w:val="00B54AC0"/>
    <w:rsid w:val="00B55757"/>
    <w:rsid w:val="00B60C7B"/>
    <w:rsid w:val="00B83441"/>
    <w:rsid w:val="00B97E27"/>
    <w:rsid w:val="00BA71C2"/>
    <w:rsid w:val="00BC0F42"/>
    <w:rsid w:val="00BC34BE"/>
    <w:rsid w:val="00BD0DC6"/>
    <w:rsid w:val="00BD2400"/>
    <w:rsid w:val="00BF5433"/>
    <w:rsid w:val="00C33B8F"/>
    <w:rsid w:val="00C33D02"/>
    <w:rsid w:val="00C416AE"/>
    <w:rsid w:val="00C619A2"/>
    <w:rsid w:val="00C73013"/>
    <w:rsid w:val="00C7341D"/>
    <w:rsid w:val="00C91453"/>
    <w:rsid w:val="00C91A9B"/>
    <w:rsid w:val="00CB51B0"/>
    <w:rsid w:val="00CB783A"/>
    <w:rsid w:val="00CD336C"/>
    <w:rsid w:val="00CD7C53"/>
    <w:rsid w:val="00CE275A"/>
    <w:rsid w:val="00CF2460"/>
    <w:rsid w:val="00D04DC1"/>
    <w:rsid w:val="00D22E3A"/>
    <w:rsid w:val="00D63429"/>
    <w:rsid w:val="00D63A4F"/>
    <w:rsid w:val="00D64754"/>
    <w:rsid w:val="00D702BF"/>
    <w:rsid w:val="00D7776E"/>
    <w:rsid w:val="00D77926"/>
    <w:rsid w:val="00DA4AE4"/>
    <w:rsid w:val="00DB1DA9"/>
    <w:rsid w:val="00DB62A9"/>
    <w:rsid w:val="00DD3B48"/>
    <w:rsid w:val="00DE0B30"/>
    <w:rsid w:val="00DE0E1D"/>
    <w:rsid w:val="00DE5CD9"/>
    <w:rsid w:val="00DF1A3C"/>
    <w:rsid w:val="00DF22C4"/>
    <w:rsid w:val="00DF4ACA"/>
    <w:rsid w:val="00E01D6B"/>
    <w:rsid w:val="00E021B1"/>
    <w:rsid w:val="00E12200"/>
    <w:rsid w:val="00E14A42"/>
    <w:rsid w:val="00E201E0"/>
    <w:rsid w:val="00E20B50"/>
    <w:rsid w:val="00E40351"/>
    <w:rsid w:val="00E40E2F"/>
    <w:rsid w:val="00E41E45"/>
    <w:rsid w:val="00E53489"/>
    <w:rsid w:val="00E615C1"/>
    <w:rsid w:val="00E82C60"/>
    <w:rsid w:val="00E84B0C"/>
    <w:rsid w:val="00E86BEF"/>
    <w:rsid w:val="00EA5442"/>
    <w:rsid w:val="00EC0F72"/>
    <w:rsid w:val="00EC4E54"/>
    <w:rsid w:val="00EC5411"/>
    <w:rsid w:val="00EC7B83"/>
    <w:rsid w:val="00ED27EA"/>
    <w:rsid w:val="00ED61A7"/>
    <w:rsid w:val="00EE181B"/>
    <w:rsid w:val="00EE297C"/>
    <w:rsid w:val="00EF0F34"/>
    <w:rsid w:val="00EF2E3F"/>
    <w:rsid w:val="00EF69BF"/>
    <w:rsid w:val="00F01CD3"/>
    <w:rsid w:val="00F02D73"/>
    <w:rsid w:val="00F13E03"/>
    <w:rsid w:val="00F32561"/>
    <w:rsid w:val="00F32609"/>
    <w:rsid w:val="00F40E95"/>
    <w:rsid w:val="00F424CE"/>
    <w:rsid w:val="00F57AA2"/>
    <w:rsid w:val="00F65D32"/>
    <w:rsid w:val="00F734FB"/>
    <w:rsid w:val="00F73C79"/>
    <w:rsid w:val="00F803A0"/>
    <w:rsid w:val="00F81B1B"/>
    <w:rsid w:val="00FA54F4"/>
    <w:rsid w:val="00FB6425"/>
    <w:rsid w:val="00FC2941"/>
    <w:rsid w:val="00FC2D20"/>
    <w:rsid w:val="00FD2F88"/>
    <w:rsid w:val="00FD6C77"/>
    <w:rsid w:val="00FE0BE8"/>
    <w:rsid w:val="00FE15BE"/>
    <w:rsid w:val="00FF5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9C85"/>
  <w15:chartTrackingRefBased/>
  <w15:docId w15:val="{5A067806-6132-43FB-A274-FBD488AA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81B"/>
    <w:pPr>
      <w:tabs>
        <w:tab w:val="center" w:pos="4680"/>
        <w:tab w:val="right" w:pos="9360"/>
      </w:tabs>
    </w:pPr>
  </w:style>
  <w:style w:type="character" w:customStyle="1" w:styleId="HeaderChar">
    <w:name w:val="Header Char"/>
    <w:basedOn w:val="DefaultParagraphFont"/>
    <w:link w:val="Header"/>
    <w:uiPriority w:val="99"/>
    <w:rsid w:val="00EE181B"/>
  </w:style>
  <w:style w:type="paragraph" w:styleId="Footer">
    <w:name w:val="footer"/>
    <w:basedOn w:val="Normal"/>
    <w:link w:val="FooterChar"/>
    <w:uiPriority w:val="99"/>
    <w:unhideWhenUsed/>
    <w:rsid w:val="00EE181B"/>
    <w:pPr>
      <w:tabs>
        <w:tab w:val="center" w:pos="4680"/>
        <w:tab w:val="right" w:pos="9360"/>
      </w:tabs>
    </w:pPr>
  </w:style>
  <w:style w:type="character" w:customStyle="1" w:styleId="FooterChar">
    <w:name w:val="Footer Char"/>
    <w:basedOn w:val="DefaultParagraphFont"/>
    <w:link w:val="Footer"/>
    <w:uiPriority w:val="99"/>
    <w:rsid w:val="00EE181B"/>
  </w:style>
  <w:style w:type="character" w:styleId="Hyperlink">
    <w:name w:val="Hyperlink"/>
    <w:basedOn w:val="DefaultParagraphFont"/>
    <w:uiPriority w:val="99"/>
    <w:unhideWhenUsed/>
    <w:rsid w:val="00AE5DC7"/>
    <w:rPr>
      <w:color w:val="0563C1" w:themeColor="hyperlink"/>
      <w:u w:val="single"/>
    </w:rPr>
  </w:style>
  <w:style w:type="character" w:styleId="UnresolvedMention">
    <w:name w:val="Unresolved Mention"/>
    <w:basedOn w:val="DefaultParagraphFont"/>
    <w:uiPriority w:val="99"/>
    <w:semiHidden/>
    <w:unhideWhenUsed/>
    <w:rsid w:val="00AE5DC7"/>
    <w:rPr>
      <w:color w:val="605E5C"/>
      <w:shd w:val="clear" w:color="auto" w:fill="E1DFDD"/>
    </w:rPr>
  </w:style>
  <w:style w:type="character" w:styleId="FollowedHyperlink">
    <w:name w:val="FollowedHyperlink"/>
    <w:basedOn w:val="DefaultParagraphFont"/>
    <w:uiPriority w:val="99"/>
    <w:semiHidden/>
    <w:unhideWhenUsed/>
    <w:rsid w:val="009E5DEF"/>
    <w:rPr>
      <w:color w:val="954F72" w:themeColor="followedHyperlink"/>
      <w:u w:val="single"/>
    </w:rPr>
  </w:style>
  <w:style w:type="table" w:styleId="TableGrid">
    <w:name w:val="Table Grid"/>
    <w:basedOn w:val="TableNormal"/>
    <w:uiPriority w:val="59"/>
    <w:rsid w:val="008C5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01E0"/>
    <w:pPr>
      <w:spacing w:before="100" w:beforeAutospacing="1" w:after="100" w:afterAutospacing="1"/>
    </w:pPr>
  </w:style>
  <w:style w:type="character" w:customStyle="1" w:styleId="redactor-invisible-space">
    <w:name w:val="redactor-invisible-space"/>
    <w:basedOn w:val="DefaultParagraphFont"/>
    <w:rsid w:val="00E201E0"/>
  </w:style>
  <w:style w:type="character" w:customStyle="1" w:styleId="im">
    <w:name w:val="im"/>
    <w:basedOn w:val="DefaultParagraphFont"/>
    <w:rsid w:val="003C5389"/>
  </w:style>
  <w:style w:type="paragraph" w:styleId="ListParagraph">
    <w:name w:val="List Paragraph"/>
    <w:basedOn w:val="Normal"/>
    <w:uiPriority w:val="34"/>
    <w:qFormat/>
    <w:rsid w:val="00400EC8"/>
    <w:pPr>
      <w:spacing w:after="200" w:line="276" w:lineRule="auto"/>
      <w:ind w:left="720"/>
      <w:contextualSpacing/>
    </w:pPr>
  </w:style>
  <w:style w:type="paragraph" w:customStyle="1" w:styleId="m7101567926939474770msolistparagraph">
    <w:name w:val="m_7101567926939474770msolistparagraph"/>
    <w:basedOn w:val="Normal"/>
    <w:rsid w:val="00F80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5607">
      <w:bodyDiv w:val="1"/>
      <w:marLeft w:val="0"/>
      <w:marRight w:val="0"/>
      <w:marTop w:val="0"/>
      <w:marBottom w:val="0"/>
      <w:divBdr>
        <w:top w:val="none" w:sz="0" w:space="0" w:color="auto"/>
        <w:left w:val="none" w:sz="0" w:space="0" w:color="auto"/>
        <w:bottom w:val="none" w:sz="0" w:space="0" w:color="auto"/>
        <w:right w:val="none" w:sz="0" w:space="0" w:color="auto"/>
      </w:divBdr>
    </w:div>
    <w:div w:id="249312866">
      <w:bodyDiv w:val="1"/>
      <w:marLeft w:val="0"/>
      <w:marRight w:val="0"/>
      <w:marTop w:val="0"/>
      <w:marBottom w:val="0"/>
      <w:divBdr>
        <w:top w:val="none" w:sz="0" w:space="0" w:color="auto"/>
        <w:left w:val="none" w:sz="0" w:space="0" w:color="auto"/>
        <w:bottom w:val="none" w:sz="0" w:space="0" w:color="auto"/>
        <w:right w:val="none" w:sz="0" w:space="0" w:color="auto"/>
      </w:divBdr>
    </w:div>
    <w:div w:id="300968644">
      <w:bodyDiv w:val="1"/>
      <w:marLeft w:val="0"/>
      <w:marRight w:val="0"/>
      <w:marTop w:val="0"/>
      <w:marBottom w:val="0"/>
      <w:divBdr>
        <w:top w:val="none" w:sz="0" w:space="0" w:color="auto"/>
        <w:left w:val="none" w:sz="0" w:space="0" w:color="auto"/>
        <w:bottom w:val="none" w:sz="0" w:space="0" w:color="auto"/>
        <w:right w:val="none" w:sz="0" w:space="0" w:color="auto"/>
      </w:divBdr>
    </w:div>
    <w:div w:id="384329344">
      <w:bodyDiv w:val="1"/>
      <w:marLeft w:val="0"/>
      <w:marRight w:val="0"/>
      <w:marTop w:val="0"/>
      <w:marBottom w:val="0"/>
      <w:divBdr>
        <w:top w:val="none" w:sz="0" w:space="0" w:color="auto"/>
        <w:left w:val="none" w:sz="0" w:space="0" w:color="auto"/>
        <w:bottom w:val="none" w:sz="0" w:space="0" w:color="auto"/>
        <w:right w:val="none" w:sz="0" w:space="0" w:color="auto"/>
      </w:divBdr>
      <w:divsChild>
        <w:div w:id="371812515">
          <w:marLeft w:val="0"/>
          <w:marRight w:val="0"/>
          <w:marTop w:val="0"/>
          <w:marBottom w:val="0"/>
          <w:divBdr>
            <w:top w:val="none" w:sz="0" w:space="0" w:color="auto"/>
            <w:left w:val="none" w:sz="0" w:space="0" w:color="auto"/>
            <w:bottom w:val="none" w:sz="0" w:space="0" w:color="auto"/>
            <w:right w:val="none" w:sz="0" w:space="0" w:color="auto"/>
          </w:divBdr>
        </w:div>
        <w:div w:id="1851138958">
          <w:marLeft w:val="0"/>
          <w:marRight w:val="0"/>
          <w:marTop w:val="0"/>
          <w:marBottom w:val="0"/>
          <w:divBdr>
            <w:top w:val="none" w:sz="0" w:space="0" w:color="auto"/>
            <w:left w:val="none" w:sz="0" w:space="0" w:color="auto"/>
            <w:bottom w:val="none" w:sz="0" w:space="0" w:color="auto"/>
            <w:right w:val="none" w:sz="0" w:space="0" w:color="auto"/>
          </w:divBdr>
        </w:div>
        <w:div w:id="606810581">
          <w:marLeft w:val="0"/>
          <w:marRight w:val="0"/>
          <w:marTop w:val="0"/>
          <w:marBottom w:val="0"/>
          <w:divBdr>
            <w:top w:val="none" w:sz="0" w:space="0" w:color="auto"/>
            <w:left w:val="none" w:sz="0" w:space="0" w:color="auto"/>
            <w:bottom w:val="none" w:sz="0" w:space="0" w:color="auto"/>
            <w:right w:val="none" w:sz="0" w:space="0" w:color="auto"/>
          </w:divBdr>
        </w:div>
        <w:div w:id="1114903093">
          <w:marLeft w:val="0"/>
          <w:marRight w:val="0"/>
          <w:marTop w:val="0"/>
          <w:marBottom w:val="0"/>
          <w:divBdr>
            <w:top w:val="none" w:sz="0" w:space="0" w:color="auto"/>
            <w:left w:val="none" w:sz="0" w:space="0" w:color="auto"/>
            <w:bottom w:val="none" w:sz="0" w:space="0" w:color="auto"/>
            <w:right w:val="none" w:sz="0" w:space="0" w:color="auto"/>
          </w:divBdr>
        </w:div>
        <w:div w:id="2086025030">
          <w:marLeft w:val="0"/>
          <w:marRight w:val="0"/>
          <w:marTop w:val="0"/>
          <w:marBottom w:val="0"/>
          <w:divBdr>
            <w:top w:val="none" w:sz="0" w:space="0" w:color="auto"/>
            <w:left w:val="none" w:sz="0" w:space="0" w:color="auto"/>
            <w:bottom w:val="none" w:sz="0" w:space="0" w:color="auto"/>
            <w:right w:val="none" w:sz="0" w:space="0" w:color="auto"/>
          </w:divBdr>
        </w:div>
        <w:div w:id="8919402">
          <w:marLeft w:val="0"/>
          <w:marRight w:val="0"/>
          <w:marTop w:val="0"/>
          <w:marBottom w:val="0"/>
          <w:divBdr>
            <w:top w:val="none" w:sz="0" w:space="0" w:color="auto"/>
            <w:left w:val="none" w:sz="0" w:space="0" w:color="auto"/>
            <w:bottom w:val="none" w:sz="0" w:space="0" w:color="auto"/>
            <w:right w:val="none" w:sz="0" w:space="0" w:color="auto"/>
          </w:divBdr>
        </w:div>
      </w:divsChild>
    </w:div>
    <w:div w:id="399253158">
      <w:bodyDiv w:val="1"/>
      <w:marLeft w:val="0"/>
      <w:marRight w:val="0"/>
      <w:marTop w:val="0"/>
      <w:marBottom w:val="0"/>
      <w:divBdr>
        <w:top w:val="none" w:sz="0" w:space="0" w:color="auto"/>
        <w:left w:val="none" w:sz="0" w:space="0" w:color="auto"/>
        <w:bottom w:val="none" w:sz="0" w:space="0" w:color="auto"/>
        <w:right w:val="none" w:sz="0" w:space="0" w:color="auto"/>
      </w:divBdr>
    </w:div>
    <w:div w:id="597568482">
      <w:bodyDiv w:val="1"/>
      <w:marLeft w:val="0"/>
      <w:marRight w:val="0"/>
      <w:marTop w:val="0"/>
      <w:marBottom w:val="0"/>
      <w:divBdr>
        <w:top w:val="none" w:sz="0" w:space="0" w:color="auto"/>
        <w:left w:val="none" w:sz="0" w:space="0" w:color="auto"/>
        <w:bottom w:val="none" w:sz="0" w:space="0" w:color="auto"/>
        <w:right w:val="none" w:sz="0" w:space="0" w:color="auto"/>
      </w:divBdr>
    </w:div>
    <w:div w:id="685905396">
      <w:bodyDiv w:val="1"/>
      <w:marLeft w:val="0"/>
      <w:marRight w:val="0"/>
      <w:marTop w:val="0"/>
      <w:marBottom w:val="0"/>
      <w:divBdr>
        <w:top w:val="none" w:sz="0" w:space="0" w:color="auto"/>
        <w:left w:val="none" w:sz="0" w:space="0" w:color="auto"/>
        <w:bottom w:val="none" w:sz="0" w:space="0" w:color="auto"/>
        <w:right w:val="none" w:sz="0" w:space="0" w:color="auto"/>
      </w:divBdr>
    </w:div>
    <w:div w:id="1020663332">
      <w:bodyDiv w:val="1"/>
      <w:marLeft w:val="0"/>
      <w:marRight w:val="0"/>
      <w:marTop w:val="0"/>
      <w:marBottom w:val="0"/>
      <w:divBdr>
        <w:top w:val="none" w:sz="0" w:space="0" w:color="auto"/>
        <w:left w:val="none" w:sz="0" w:space="0" w:color="auto"/>
        <w:bottom w:val="none" w:sz="0" w:space="0" w:color="auto"/>
        <w:right w:val="none" w:sz="0" w:space="0" w:color="auto"/>
      </w:divBdr>
    </w:div>
    <w:div w:id="1174488166">
      <w:bodyDiv w:val="1"/>
      <w:marLeft w:val="0"/>
      <w:marRight w:val="0"/>
      <w:marTop w:val="0"/>
      <w:marBottom w:val="0"/>
      <w:divBdr>
        <w:top w:val="none" w:sz="0" w:space="0" w:color="auto"/>
        <w:left w:val="none" w:sz="0" w:space="0" w:color="auto"/>
        <w:bottom w:val="none" w:sz="0" w:space="0" w:color="auto"/>
        <w:right w:val="none" w:sz="0" w:space="0" w:color="auto"/>
      </w:divBdr>
    </w:div>
    <w:div w:id="1254895682">
      <w:bodyDiv w:val="1"/>
      <w:marLeft w:val="0"/>
      <w:marRight w:val="0"/>
      <w:marTop w:val="0"/>
      <w:marBottom w:val="0"/>
      <w:divBdr>
        <w:top w:val="none" w:sz="0" w:space="0" w:color="auto"/>
        <w:left w:val="none" w:sz="0" w:space="0" w:color="auto"/>
        <w:bottom w:val="none" w:sz="0" w:space="0" w:color="auto"/>
        <w:right w:val="none" w:sz="0" w:space="0" w:color="auto"/>
      </w:divBdr>
    </w:div>
    <w:div w:id="1261330327">
      <w:bodyDiv w:val="1"/>
      <w:marLeft w:val="0"/>
      <w:marRight w:val="0"/>
      <w:marTop w:val="0"/>
      <w:marBottom w:val="0"/>
      <w:divBdr>
        <w:top w:val="none" w:sz="0" w:space="0" w:color="auto"/>
        <w:left w:val="none" w:sz="0" w:space="0" w:color="auto"/>
        <w:bottom w:val="none" w:sz="0" w:space="0" w:color="auto"/>
        <w:right w:val="none" w:sz="0" w:space="0" w:color="auto"/>
      </w:divBdr>
      <w:divsChild>
        <w:div w:id="1675113112">
          <w:marLeft w:val="0"/>
          <w:marRight w:val="0"/>
          <w:marTop w:val="150"/>
          <w:marBottom w:val="225"/>
          <w:divBdr>
            <w:top w:val="none" w:sz="0" w:space="0" w:color="auto"/>
            <w:left w:val="none" w:sz="0" w:space="0" w:color="auto"/>
            <w:bottom w:val="none" w:sz="0" w:space="0" w:color="auto"/>
            <w:right w:val="none" w:sz="0" w:space="0" w:color="auto"/>
          </w:divBdr>
        </w:div>
        <w:div w:id="107118350">
          <w:marLeft w:val="0"/>
          <w:marRight w:val="0"/>
          <w:marTop w:val="0"/>
          <w:marBottom w:val="0"/>
          <w:divBdr>
            <w:top w:val="none" w:sz="0" w:space="0" w:color="auto"/>
            <w:left w:val="none" w:sz="0" w:space="0" w:color="auto"/>
            <w:bottom w:val="none" w:sz="0" w:space="8" w:color="auto"/>
            <w:right w:val="none" w:sz="0" w:space="0" w:color="auto"/>
          </w:divBdr>
        </w:div>
        <w:div w:id="1799564469">
          <w:marLeft w:val="0"/>
          <w:marRight w:val="0"/>
          <w:marTop w:val="0"/>
          <w:marBottom w:val="0"/>
          <w:divBdr>
            <w:top w:val="none" w:sz="0" w:space="0" w:color="auto"/>
            <w:left w:val="none" w:sz="0" w:space="0" w:color="auto"/>
            <w:bottom w:val="none" w:sz="0" w:space="8" w:color="auto"/>
            <w:right w:val="none" w:sz="0" w:space="0" w:color="auto"/>
          </w:divBdr>
        </w:div>
        <w:div w:id="1142191456">
          <w:marLeft w:val="0"/>
          <w:marRight w:val="0"/>
          <w:marTop w:val="0"/>
          <w:marBottom w:val="0"/>
          <w:divBdr>
            <w:top w:val="none" w:sz="0" w:space="0" w:color="auto"/>
            <w:left w:val="none" w:sz="0" w:space="0" w:color="auto"/>
            <w:bottom w:val="none" w:sz="0" w:space="8" w:color="auto"/>
            <w:right w:val="none" w:sz="0" w:space="0" w:color="auto"/>
          </w:divBdr>
        </w:div>
        <w:div w:id="254483863">
          <w:marLeft w:val="0"/>
          <w:marRight w:val="0"/>
          <w:marTop w:val="0"/>
          <w:marBottom w:val="0"/>
          <w:divBdr>
            <w:top w:val="none" w:sz="0" w:space="0" w:color="auto"/>
            <w:left w:val="none" w:sz="0" w:space="0" w:color="auto"/>
            <w:bottom w:val="none" w:sz="0" w:space="8" w:color="auto"/>
            <w:right w:val="none" w:sz="0" w:space="0" w:color="auto"/>
          </w:divBdr>
        </w:div>
        <w:div w:id="1045719020">
          <w:marLeft w:val="0"/>
          <w:marRight w:val="0"/>
          <w:marTop w:val="0"/>
          <w:marBottom w:val="0"/>
          <w:divBdr>
            <w:top w:val="none" w:sz="0" w:space="0" w:color="auto"/>
            <w:left w:val="none" w:sz="0" w:space="0" w:color="auto"/>
            <w:bottom w:val="none" w:sz="0" w:space="8" w:color="auto"/>
            <w:right w:val="none" w:sz="0" w:space="0" w:color="auto"/>
          </w:divBdr>
        </w:div>
        <w:div w:id="1924025323">
          <w:marLeft w:val="0"/>
          <w:marRight w:val="0"/>
          <w:marTop w:val="0"/>
          <w:marBottom w:val="0"/>
          <w:divBdr>
            <w:top w:val="none" w:sz="0" w:space="0" w:color="auto"/>
            <w:left w:val="none" w:sz="0" w:space="0" w:color="auto"/>
            <w:bottom w:val="none" w:sz="0" w:space="8" w:color="auto"/>
            <w:right w:val="none" w:sz="0" w:space="0" w:color="auto"/>
          </w:divBdr>
        </w:div>
        <w:div w:id="416906489">
          <w:marLeft w:val="0"/>
          <w:marRight w:val="0"/>
          <w:marTop w:val="0"/>
          <w:marBottom w:val="0"/>
          <w:divBdr>
            <w:top w:val="none" w:sz="0" w:space="0" w:color="auto"/>
            <w:left w:val="none" w:sz="0" w:space="0" w:color="auto"/>
            <w:bottom w:val="none" w:sz="0" w:space="8" w:color="auto"/>
            <w:right w:val="none" w:sz="0" w:space="0" w:color="auto"/>
          </w:divBdr>
        </w:div>
        <w:div w:id="228852019">
          <w:marLeft w:val="0"/>
          <w:marRight w:val="0"/>
          <w:marTop w:val="0"/>
          <w:marBottom w:val="0"/>
          <w:divBdr>
            <w:top w:val="none" w:sz="0" w:space="0" w:color="auto"/>
            <w:left w:val="none" w:sz="0" w:space="0" w:color="auto"/>
            <w:bottom w:val="none" w:sz="0" w:space="8" w:color="auto"/>
            <w:right w:val="none" w:sz="0" w:space="0" w:color="auto"/>
          </w:divBdr>
        </w:div>
        <w:div w:id="140536813">
          <w:marLeft w:val="0"/>
          <w:marRight w:val="0"/>
          <w:marTop w:val="0"/>
          <w:marBottom w:val="0"/>
          <w:divBdr>
            <w:top w:val="none" w:sz="0" w:space="0" w:color="auto"/>
            <w:left w:val="none" w:sz="0" w:space="0" w:color="auto"/>
            <w:bottom w:val="none" w:sz="0" w:space="8" w:color="auto"/>
            <w:right w:val="none" w:sz="0" w:space="0" w:color="auto"/>
          </w:divBdr>
        </w:div>
        <w:div w:id="493840333">
          <w:marLeft w:val="0"/>
          <w:marRight w:val="0"/>
          <w:marTop w:val="0"/>
          <w:marBottom w:val="0"/>
          <w:divBdr>
            <w:top w:val="none" w:sz="0" w:space="0" w:color="auto"/>
            <w:left w:val="none" w:sz="0" w:space="0" w:color="auto"/>
            <w:bottom w:val="none" w:sz="0" w:space="8" w:color="auto"/>
            <w:right w:val="none" w:sz="0" w:space="0" w:color="auto"/>
          </w:divBdr>
        </w:div>
        <w:div w:id="1242133300">
          <w:marLeft w:val="0"/>
          <w:marRight w:val="0"/>
          <w:marTop w:val="0"/>
          <w:marBottom w:val="0"/>
          <w:divBdr>
            <w:top w:val="none" w:sz="0" w:space="0" w:color="auto"/>
            <w:left w:val="none" w:sz="0" w:space="0" w:color="auto"/>
            <w:bottom w:val="none" w:sz="0" w:space="8" w:color="auto"/>
            <w:right w:val="none" w:sz="0" w:space="0" w:color="auto"/>
          </w:divBdr>
        </w:div>
        <w:div w:id="1030834827">
          <w:marLeft w:val="0"/>
          <w:marRight w:val="0"/>
          <w:marTop w:val="0"/>
          <w:marBottom w:val="0"/>
          <w:divBdr>
            <w:top w:val="none" w:sz="0" w:space="0" w:color="auto"/>
            <w:left w:val="none" w:sz="0" w:space="0" w:color="auto"/>
            <w:bottom w:val="none" w:sz="0" w:space="8" w:color="auto"/>
            <w:right w:val="none" w:sz="0" w:space="0" w:color="auto"/>
          </w:divBdr>
        </w:div>
        <w:div w:id="1579822287">
          <w:marLeft w:val="0"/>
          <w:marRight w:val="0"/>
          <w:marTop w:val="0"/>
          <w:marBottom w:val="0"/>
          <w:divBdr>
            <w:top w:val="none" w:sz="0" w:space="0" w:color="auto"/>
            <w:left w:val="none" w:sz="0" w:space="0" w:color="auto"/>
            <w:bottom w:val="none" w:sz="0" w:space="8" w:color="auto"/>
            <w:right w:val="none" w:sz="0" w:space="0" w:color="auto"/>
          </w:divBdr>
        </w:div>
        <w:div w:id="673922248">
          <w:marLeft w:val="0"/>
          <w:marRight w:val="0"/>
          <w:marTop w:val="0"/>
          <w:marBottom w:val="0"/>
          <w:divBdr>
            <w:top w:val="none" w:sz="0" w:space="0" w:color="auto"/>
            <w:left w:val="none" w:sz="0" w:space="0" w:color="auto"/>
            <w:bottom w:val="none" w:sz="0" w:space="8" w:color="auto"/>
            <w:right w:val="none" w:sz="0" w:space="0" w:color="auto"/>
          </w:divBdr>
        </w:div>
        <w:div w:id="1394347400">
          <w:marLeft w:val="0"/>
          <w:marRight w:val="0"/>
          <w:marTop w:val="0"/>
          <w:marBottom w:val="0"/>
          <w:divBdr>
            <w:top w:val="none" w:sz="0" w:space="0" w:color="auto"/>
            <w:left w:val="none" w:sz="0" w:space="0" w:color="auto"/>
            <w:bottom w:val="none" w:sz="0" w:space="8" w:color="auto"/>
            <w:right w:val="none" w:sz="0" w:space="0" w:color="auto"/>
          </w:divBdr>
        </w:div>
        <w:div w:id="532691820">
          <w:marLeft w:val="0"/>
          <w:marRight w:val="0"/>
          <w:marTop w:val="0"/>
          <w:marBottom w:val="0"/>
          <w:divBdr>
            <w:top w:val="none" w:sz="0" w:space="0" w:color="auto"/>
            <w:left w:val="none" w:sz="0" w:space="0" w:color="auto"/>
            <w:bottom w:val="none" w:sz="0" w:space="8" w:color="auto"/>
            <w:right w:val="none" w:sz="0" w:space="0" w:color="auto"/>
          </w:divBdr>
        </w:div>
        <w:div w:id="1141993399">
          <w:marLeft w:val="0"/>
          <w:marRight w:val="0"/>
          <w:marTop w:val="0"/>
          <w:marBottom w:val="0"/>
          <w:divBdr>
            <w:top w:val="none" w:sz="0" w:space="0" w:color="auto"/>
            <w:left w:val="none" w:sz="0" w:space="0" w:color="auto"/>
            <w:bottom w:val="none" w:sz="0" w:space="8" w:color="auto"/>
            <w:right w:val="none" w:sz="0" w:space="0" w:color="auto"/>
          </w:divBdr>
        </w:div>
        <w:div w:id="1563247836">
          <w:marLeft w:val="0"/>
          <w:marRight w:val="0"/>
          <w:marTop w:val="0"/>
          <w:marBottom w:val="0"/>
          <w:divBdr>
            <w:top w:val="none" w:sz="0" w:space="0" w:color="auto"/>
            <w:left w:val="none" w:sz="0" w:space="0" w:color="auto"/>
            <w:bottom w:val="none" w:sz="0" w:space="8" w:color="auto"/>
            <w:right w:val="none" w:sz="0" w:space="0" w:color="auto"/>
          </w:divBdr>
        </w:div>
        <w:div w:id="1472941303">
          <w:marLeft w:val="0"/>
          <w:marRight w:val="0"/>
          <w:marTop w:val="0"/>
          <w:marBottom w:val="0"/>
          <w:divBdr>
            <w:top w:val="none" w:sz="0" w:space="0" w:color="auto"/>
            <w:left w:val="none" w:sz="0" w:space="0" w:color="auto"/>
            <w:bottom w:val="none" w:sz="0" w:space="8" w:color="auto"/>
            <w:right w:val="none" w:sz="0" w:space="0" w:color="auto"/>
          </w:divBdr>
        </w:div>
        <w:div w:id="1089040482">
          <w:marLeft w:val="0"/>
          <w:marRight w:val="0"/>
          <w:marTop w:val="0"/>
          <w:marBottom w:val="0"/>
          <w:divBdr>
            <w:top w:val="none" w:sz="0" w:space="0" w:color="auto"/>
            <w:left w:val="none" w:sz="0" w:space="0" w:color="auto"/>
            <w:bottom w:val="none" w:sz="0" w:space="8" w:color="auto"/>
            <w:right w:val="none" w:sz="0" w:space="0" w:color="auto"/>
          </w:divBdr>
        </w:div>
        <w:div w:id="2045250740">
          <w:marLeft w:val="0"/>
          <w:marRight w:val="0"/>
          <w:marTop w:val="0"/>
          <w:marBottom w:val="0"/>
          <w:divBdr>
            <w:top w:val="none" w:sz="0" w:space="0" w:color="auto"/>
            <w:left w:val="none" w:sz="0" w:space="0" w:color="auto"/>
            <w:bottom w:val="none" w:sz="0" w:space="8" w:color="auto"/>
            <w:right w:val="none" w:sz="0" w:space="0" w:color="auto"/>
          </w:divBdr>
        </w:div>
        <w:div w:id="1801067840">
          <w:marLeft w:val="0"/>
          <w:marRight w:val="0"/>
          <w:marTop w:val="0"/>
          <w:marBottom w:val="0"/>
          <w:divBdr>
            <w:top w:val="none" w:sz="0" w:space="0" w:color="auto"/>
            <w:left w:val="none" w:sz="0" w:space="0" w:color="auto"/>
            <w:bottom w:val="none" w:sz="0" w:space="8" w:color="auto"/>
            <w:right w:val="none" w:sz="0" w:space="0" w:color="auto"/>
          </w:divBdr>
        </w:div>
        <w:div w:id="578174859">
          <w:marLeft w:val="0"/>
          <w:marRight w:val="0"/>
          <w:marTop w:val="0"/>
          <w:marBottom w:val="0"/>
          <w:divBdr>
            <w:top w:val="none" w:sz="0" w:space="0" w:color="auto"/>
            <w:left w:val="none" w:sz="0" w:space="0" w:color="auto"/>
            <w:bottom w:val="none" w:sz="0" w:space="8" w:color="auto"/>
            <w:right w:val="none" w:sz="0" w:space="0" w:color="auto"/>
          </w:divBdr>
        </w:div>
        <w:div w:id="1368291243">
          <w:marLeft w:val="0"/>
          <w:marRight w:val="0"/>
          <w:marTop w:val="0"/>
          <w:marBottom w:val="0"/>
          <w:divBdr>
            <w:top w:val="none" w:sz="0" w:space="0" w:color="auto"/>
            <w:left w:val="none" w:sz="0" w:space="0" w:color="auto"/>
            <w:bottom w:val="none" w:sz="0" w:space="8" w:color="auto"/>
            <w:right w:val="none" w:sz="0" w:space="0" w:color="auto"/>
          </w:divBdr>
        </w:div>
        <w:div w:id="1959793370">
          <w:marLeft w:val="0"/>
          <w:marRight w:val="0"/>
          <w:marTop w:val="0"/>
          <w:marBottom w:val="0"/>
          <w:divBdr>
            <w:top w:val="none" w:sz="0" w:space="0" w:color="auto"/>
            <w:left w:val="none" w:sz="0" w:space="0" w:color="auto"/>
            <w:bottom w:val="none" w:sz="0" w:space="8" w:color="auto"/>
            <w:right w:val="none" w:sz="0" w:space="0" w:color="auto"/>
          </w:divBdr>
        </w:div>
        <w:div w:id="1313561912">
          <w:marLeft w:val="0"/>
          <w:marRight w:val="0"/>
          <w:marTop w:val="0"/>
          <w:marBottom w:val="0"/>
          <w:divBdr>
            <w:top w:val="none" w:sz="0" w:space="0" w:color="auto"/>
            <w:left w:val="none" w:sz="0" w:space="0" w:color="auto"/>
            <w:bottom w:val="none" w:sz="0" w:space="8" w:color="auto"/>
            <w:right w:val="none" w:sz="0" w:space="0" w:color="auto"/>
          </w:divBdr>
        </w:div>
        <w:div w:id="1214195997">
          <w:marLeft w:val="0"/>
          <w:marRight w:val="0"/>
          <w:marTop w:val="0"/>
          <w:marBottom w:val="0"/>
          <w:divBdr>
            <w:top w:val="none" w:sz="0" w:space="0" w:color="auto"/>
            <w:left w:val="none" w:sz="0" w:space="0" w:color="auto"/>
            <w:bottom w:val="none" w:sz="0" w:space="8" w:color="auto"/>
            <w:right w:val="none" w:sz="0" w:space="0" w:color="auto"/>
          </w:divBdr>
        </w:div>
        <w:div w:id="1067535491">
          <w:marLeft w:val="0"/>
          <w:marRight w:val="0"/>
          <w:marTop w:val="0"/>
          <w:marBottom w:val="0"/>
          <w:divBdr>
            <w:top w:val="none" w:sz="0" w:space="0" w:color="auto"/>
            <w:left w:val="none" w:sz="0" w:space="0" w:color="auto"/>
            <w:bottom w:val="none" w:sz="0" w:space="8" w:color="auto"/>
            <w:right w:val="none" w:sz="0" w:space="0" w:color="auto"/>
          </w:divBdr>
        </w:div>
        <w:div w:id="1441144488">
          <w:marLeft w:val="0"/>
          <w:marRight w:val="0"/>
          <w:marTop w:val="0"/>
          <w:marBottom w:val="0"/>
          <w:divBdr>
            <w:top w:val="none" w:sz="0" w:space="0" w:color="auto"/>
            <w:left w:val="none" w:sz="0" w:space="0" w:color="auto"/>
            <w:bottom w:val="none" w:sz="0" w:space="8" w:color="auto"/>
            <w:right w:val="none" w:sz="0" w:space="0" w:color="auto"/>
          </w:divBdr>
        </w:div>
        <w:div w:id="821192821">
          <w:marLeft w:val="0"/>
          <w:marRight w:val="0"/>
          <w:marTop w:val="0"/>
          <w:marBottom w:val="0"/>
          <w:divBdr>
            <w:top w:val="none" w:sz="0" w:space="0" w:color="auto"/>
            <w:left w:val="none" w:sz="0" w:space="0" w:color="auto"/>
            <w:bottom w:val="none" w:sz="0" w:space="8" w:color="auto"/>
            <w:right w:val="none" w:sz="0" w:space="0" w:color="auto"/>
          </w:divBdr>
        </w:div>
        <w:div w:id="179125448">
          <w:marLeft w:val="0"/>
          <w:marRight w:val="0"/>
          <w:marTop w:val="0"/>
          <w:marBottom w:val="0"/>
          <w:divBdr>
            <w:top w:val="none" w:sz="0" w:space="0" w:color="auto"/>
            <w:left w:val="none" w:sz="0" w:space="0" w:color="auto"/>
            <w:bottom w:val="none" w:sz="0" w:space="8" w:color="auto"/>
            <w:right w:val="none" w:sz="0" w:space="0" w:color="auto"/>
          </w:divBdr>
        </w:div>
        <w:div w:id="1611234080">
          <w:marLeft w:val="0"/>
          <w:marRight w:val="0"/>
          <w:marTop w:val="0"/>
          <w:marBottom w:val="0"/>
          <w:divBdr>
            <w:top w:val="none" w:sz="0" w:space="0" w:color="auto"/>
            <w:left w:val="none" w:sz="0" w:space="0" w:color="auto"/>
            <w:bottom w:val="none" w:sz="0" w:space="8" w:color="auto"/>
            <w:right w:val="none" w:sz="0" w:space="0" w:color="auto"/>
          </w:divBdr>
        </w:div>
        <w:div w:id="932126190">
          <w:marLeft w:val="0"/>
          <w:marRight w:val="0"/>
          <w:marTop w:val="0"/>
          <w:marBottom w:val="0"/>
          <w:divBdr>
            <w:top w:val="none" w:sz="0" w:space="0" w:color="auto"/>
            <w:left w:val="none" w:sz="0" w:space="0" w:color="auto"/>
            <w:bottom w:val="none" w:sz="0" w:space="8" w:color="auto"/>
            <w:right w:val="none" w:sz="0" w:space="0" w:color="auto"/>
          </w:divBdr>
        </w:div>
      </w:divsChild>
    </w:div>
    <w:div w:id="1312757195">
      <w:bodyDiv w:val="1"/>
      <w:marLeft w:val="0"/>
      <w:marRight w:val="0"/>
      <w:marTop w:val="0"/>
      <w:marBottom w:val="0"/>
      <w:divBdr>
        <w:top w:val="none" w:sz="0" w:space="0" w:color="auto"/>
        <w:left w:val="none" w:sz="0" w:space="0" w:color="auto"/>
        <w:bottom w:val="none" w:sz="0" w:space="0" w:color="auto"/>
        <w:right w:val="none" w:sz="0" w:space="0" w:color="auto"/>
      </w:divBdr>
    </w:div>
    <w:div w:id="1314605130">
      <w:bodyDiv w:val="1"/>
      <w:marLeft w:val="0"/>
      <w:marRight w:val="0"/>
      <w:marTop w:val="0"/>
      <w:marBottom w:val="0"/>
      <w:divBdr>
        <w:top w:val="none" w:sz="0" w:space="0" w:color="auto"/>
        <w:left w:val="none" w:sz="0" w:space="0" w:color="auto"/>
        <w:bottom w:val="none" w:sz="0" w:space="0" w:color="auto"/>
        <w:right w:val="none" w:sz="0" w:space="0" w:color="auto"/>
      </w:divBdr>
      <w:divsChild>
        <w:div w:id="1728146670">
          <w:marLeft w:val="0"/>
          <w:marRight w:val="0"/>
          <w:marTop w:val="0"/>
          <w:marBottom w:val="0"/>
          <w:divBdr>
            <w:top w:val="none" w:sz="0" w:space="0" w:color="auto"/>
            <w:left w:val="none" w:sz="0" w:space="0" w:color="auto"/>
            <w:bottom w:val="none" w:sz="0" w:space="0" w:color="auto"/>
            <w:right w:val="none" w:sz="0" w:space="0" w:color="auto"/>
          </w:divBdr>
        </w:div>
        <w:div w:id="416289482">
          <w:marLeft w:val="0"/>
          <w:marRight w:val="0"/>
          <w:marTop w:val="0"/>
          <w:marBottom w:val="0"/>
          <w:divBdr>
            <w:top w:val="none" w:sz="0" w:space="0" w:color="auto"/>
            <w:left w:val="none" w:sz="0" w:space="0" w:color="auto"/>
            <w:bottom w:val="none" w:sz="0" w:space="0" w:color="auto"/>
            <w:right w:val="none" w:sz="0" w:space="0" w:color="auto"/>
          </w:divBdr>
        </w:div>
      </w:divsChild>
    </w:div>
    <w:div w:id="1411192206">
      <w:bodyDiv w:val="1"/>
      <w:marLeft w:val="0"/>
      <w:marRight w:val="0"/>
      <w:marTop w:val="0"/>
      <w:marBottom w:val="0"/>
      <w:divBdr>
        <w:top w:val="none" w:sz="0" w:space="0" w:color="auto"/>
        <w:left w:val="none" w:sz="0" w:space="0" w:color="auto"/>
        <w:bottom w:val="none" w:sz="0" w:space="0" w:color="auto"/>
        <w:right w:val="none" w:sz="0" w:space="0" w:color="auto"/>
      </w:divBdr>
    </w:div>
    <w:div w:id="1715500623">
      <w:bodyDiv w:val="1"/>
      <w:marLeft w:val="0"/>
      <w:marRight w:val="0"/>
      <w:marTop w:val="0"/>
      <w:marBottom w:val="0"/>
      <w:divBdr>
        <w:top w:val="none" w:sz="0" w:space="0" w:color="auto"/>
        <w:left w:val="none" w:sz="0" w:space="0" w:color="auto"/>
        <w:bottom w:val="none" w:sz="0" w:space="0" w:color="auto"/>
        <w:right w:val="none" w:sz="0" w:space="0" w:color="auto"/>
      </w:divBdr>
      <w:divsChild>
        <w:div w:id="1723096673">
          <w:marLeft w:val="0"/>
          <w:marRight w:val="0"/>
          <w:marTop w:val="0"/>
          <w:marBottom w:val="0"/>
          <w:divBdr>
            <w:top w:val="none" w:sz="0" w:space="0" w:color="auto"/>
            <w:left w:val="none" w:sz="0" w:space="0" w:color="auto"/>
            <w:bottom w:val="none" w:sz="0" w:space="0" w:color="auto"/>
            <w:right w:val="none" w:sz="0" w:space="0" w:color="auto"/>
          </w:divBdr>
        </w:div>
        <w:div w:id="1314679478">
          <w:marLeft w:val="0"/>
          <w:marRight w:val="0"/>
          <w:marTop w:val="0"/>
          <w:marBottom w:val="0"/>
          <w:divBdr>
            <w:top w:val="none" w:sz="0" w:space="0" w:color="auto"/>
            <w:left w:val="none" w:sz="0" w:space="0" w:color="auto"/>
            <w:bottom w:val="none" w:sz="0" w:space="0" w:color="auto"/>
            <w:right w:val="none" w:sz="0" w:space="0" w:color="auto"/>
          </w:divBdr>
        </w:div>
      </w:divsChild>
    </w:div>
    <w:div w:id="1856307800">
      <w:bodyDiv w:val="1"/>
      <w:marLeft w:val="0"/>
      <w:marRight w:val="0"/>
      <w:marTop w:val="0"/>
      <w:marBottom w:val="0"/>
      <w:divBdr>
        <w:top w:val="none" w:sz="0" w:space="0" w:color="auto"/>
        <w:left w:val="none" w:sz="0" w:space="0" w:color="auto"/>
        <w:bottom w:val="none" w:sz="0" w:space="0" w:color="auto"/>
        <w:right w:val="none" w:sz="0" w:space="0" w:color="auto"/>
      </w:divBdr>
    </w:div>
    <w:div w:id="19011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SB7" TargetMode="External"/><Relationship Id="rId13" Type="http://schemas.openxmlformats.org/officeDocument/2006/relationships/hyperlink" Target="https://phys.org/news/2024-06-housing-short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511482.2024.2334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hs.harvard.edu/research-areas/working-papers/suburban-housing-and-urban-affordability-evidence-residential-vacan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alentinegilbert.github.io/files/gilbert_jmp.pdf" TargetMode="External"/><Relationship Id="rId4" Type="http://schemas.openxmlformats.org/officeDocument/2006/relationships/settings" Target="settings.xml"/><Relationship Id="rId9" Type="http://schemas.openxmlformats.org/officeDocument/2006/relationships/hyperlink" Target="https://cafwd.org/resources/removing-fiscal-barriers-to-housing-produc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11D4-0830-EC44-AB6A-F98BDB1C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Lorber</dc:creator>
  <cp:keywords/>
  <dc:description/>
  <cp:lastModifiedBy>Maurice Green</cp:lastModifiedBy>
  <cp:revision>2</cp:revision>
  <cp:lastPrinted>2024-06-21T19:48:00Z</cp:lastPrinted>
  <dcterms:created xsi:type="dcterms:W3CDTF">2024-06-21T22:53:00Z</dcterms:created>
  <dcterms:modified xsi:type="dcterms:W3CDTF">2024-06-21T22:53:00Z</dcterms:modified>
</cp:coreProperties>
</file>