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E55C" w14:textId="35B5599C" w:rsidR="008C5189" w:rsidRPr="00241BA1" w:rsidRDefault="00BE48C4" w:rsidP="00082E3B">
      <w:pPr>
        <w:spacing w:after="0" w:line="240" w:lineRule="auto"/>
        <w:ind w:right="36"/>
        <w:jc w:val="both"/>
        <w:rPr>
          <w:rFonts w:cstheme="minorHAnsi"/>
        </w:rPr>
      </w:pPr>
      <w:r>
        <w:rPr>
          <w:rFonts w:cstheme="minorHAnsi"/>
        </w:rPr>
        <w:t>July 1</w:t>
      </w:r>
      <w:r w:rsidR="004E7BD4">
        <w:rPr>
          <w:rFonts w:cstheme="minorHAnsi"/>
        </w:rPr>
        <w:t>2</w:t>
      </w:r>
      <w:r>
        <w:rPr>
          <w:rFonts w:cstheme="minorHAnsi"/>
        </w:rPr>
        <w:t>, 2025</w:t>
      </w:r>
    </w:p>
    <w:p w14:paraId="59511701" w14:textId="77777777" w:rsidR="00C6240C" w:rsidRPr="00241BA1" w:rsidRDefault="00C6240C" w:rsidP="00082E3B">
      <w:pPr>
        <w:spacing w:after="0" w:line="240" w:lineRule="auto"/>
        <w:ind w:right="36"/>
        <w:jc w:val="both"/>
        <w:rPr>
          <w:rFonts w:cstheme="minorHAnsi"/>
        </w:rPr>
      </w:pPr>
    </w:p>
    <w:p w14:paraId="199F9144" w14:textId="45FBFE7C" w:rsidR="00097B33" w:rsidRDefault="00D0759D" w:rsidP="00082E3B">
      <w:pPr>
        <w:spacing w:after="0" w:line="240" w:lineRule="auto"/>
        <w:ind w:right="36"/>
        <w:jc w:val="both"/>
        <w:rPr>
          <w:rFonts w:cstheme="minorHAnsi"/>
        </w:rPr>
      </w:pPr>
      <w:r>
        <w:rPr>
          <w:rFonts w:cstheme="minorHAnsi"/>
        </w:rPr>
        <w:t xml:space="preserve">Senator </w:t>
      </w:r>
      <w:r w:rsidR="00C6240C" w:rsidRPr="00241BA1">
        <w:rPr>
          <w:rFonts w:cstheme="minorHAnsi"/>
        </w:rPr>
        <w:t>Aisha Wahab, Chair, Senate Housing Committee</w:t>
      </w:r>
      <w:r w:rsidR="00E10E33" w:rsidRPr="00241BA1">
        <w:rPr>
          <w:rFonts w:cstheme="minorHAnsi"/>
        </w:rPr>
        <w:t xml:space="preserve"> </w:t>
      </w:r>
    </w:p>
    <w:p w14:paraId="21813630" w14:textId="77777777" w:rsidR="008C5189" w:rsidRPr="00241BA1" w:rsidRDefault="008C5189" w:rsidP="00A973E1">
      <w:pPr>
        <w:spacing w:after="0" w:line="240" w:lineRule="auto"/>
        <w:ind w:right="36"/>
        <w:rPr>
          <w:rFonts w:cstheme="minorHAnsi"/>
        </w:rPr>
      </w:pPr>
    </w:p>
    <w:p w14:paraId="09DF9688" w14:textId="5851DEB5" w:rsidR="00265B7F" w:rsidRPr="00885BE3" w:rsidRDefault="00B37CEF" w:rsidP="00082E3B">
      <w:pPr>
        <w:tabs>
          <w:tab w:val="left" w:pos="10340"/>
        </w:tabs>
        <w:spacing w:after="0" w:line="240" w:lineRule="auto"/>
        <w:ind w:right="36"/>
        <w:jc w:val="center"/>
        <w:rPr>
          <w:b/>
          <w:bCs/>
          <w:color w:val="000000"/>
        </w:rPr>
      </w:pPr>
      <w:r w:rsidRPr="00241BA1">
        <w:rPr>
          <w:rFonts w:cstheme="minorHAnsi"/>
          <w:b/>
        </w:rPr>
        <w:t xml:space="preserve">RE: </w:t>
      </w:r>
      <w:r w:rsidR="00BE48C4">
        <w:rPr>
          <w:rFonts w:cstheme="minorHAnsi"/>
          <w:b/>
        </w:rPr>
        <w:t>AB-557 (</w:t>
      </w:r>
      <w:proofErr w:type="spellStart"/>
      <w:r w:rsidR="00BE48C4">
        <w:rPr>
          <w:rFonts w:cstheme="minorHAnsi"/>
          <w:b/>
        </w:rPr>
        <w:t>McKinnor</w:t>
      </w:r>
      <w:proofErr w:type="spellEnd"/>
      <w:r w:rsidR="00BE48C4">
        <w:rPr>
          <w:rFonts w:cstheme="minorHAnsi"/>
          <w:b/>
        </w:rPr>
        <w:t>), AB-660 (Wilson), AB-818 (Farias), AB-920 (Wicks), AB-1050 (</w:t>
      </w:r>
      <w:proofErr w:type="gramStart"/>
      <w:r w:rsidR="00BE48C4">
        <w:rPr>
          <w:rFonts w:cstheme="minorHAnsi"/>
          <w:b/>
        </w:rPr>
        <w:t xml:space="preserve">Schultz) </w:t>
      </w:r>
      <w:r w:rsidR="00454D25" w:rsidRPr="00241BA1">
        <w:rPr>
          <w:color w:val="000000"/>
        </w:rPr>
        <w:t> </w:t>
      </w:r>
      <w:r w:rsidR="00265B7F" w:rsidRPr="00885BE3">
        <w:rPr>
          <w:b/>
          <w:bCs/>
          <w:color w:val="000000"/>
        </w:rPr>
        <w:t>OPPOSE</w:t>
      </w:r>
      <w:proofErr w:type="gramEnd"/>
    </w:p>
    <w:p w14:paraId="13DD5A82" w14:textId="17AAA067" w:rsidR="00265B7F" w:rsidRDefault="00885BE3" w:rsidP="00082E3B">
      <w:pPr>
        <w:tabs>
          <w:tab w:val="left" w:pos="10340"/>
        </w:tabs>
        <w:spacing w:after="0" w:line="240" w:lineRule="auto"/>
        <w:ind w:right="3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Housing: streamlin</w:t>
      </w:r>
      <w:r w:rsidR="00BE48C4">
        <w:rPr>
          <w:b/>
          <w:bCs/>
          <w:color w:val="000000"/>
        </w:rPr>
        <w:t>ing</w:t>
      </w:r>
      <w:r>
        <w:rPr>
          <w:b/>
          <w:bCs/>
          <w:color w:val="000000"/>
        </w:rPr>
        <w:t xml:space="preserve"> </w:t>
      </w:r>
      <w:r w:rsidR="00BE48C4">
        <w:rPr>
          <w:b/>
          <w:bCs/>
          <w:color w:val="000000"/>
        </w:rPr>
        <w:t>permitting, regulatory reduction, reducing oversight</w:t>
      </w:r>
    </w:p>
    <w:p w14:paraId="193DD499" w14:textId="77777777" w:rsidR="00885BE3" w:rsidRPr="00241BA1" w:rsidRDefault="00885BE3" w:rsidP="00082E3B">
      <w:pPr>
        <w:tabs>
          <w:tab w:val="left" w:pos="10340"/>
        </w:tabs>
        <w:spacing w:after="0" w:line="240" w:lineRule="auto"/>
        <w:ind w:right="36"/>
        <w:jc w:val="center"/>
        <w:rPr>
          <w:b/>
          <w:bCs/>
          <w:color w:val="000000"/>
        </w:rPr>
      </w:pPr>
    </w:p>
    <w:p w14:paraId="782456C1" w14:textId="47F3E070" w:rsidR="00B37CEF" w:rsidRDefault="00B37CEF" w:rsidP="00082E3B">
      <w:pPr>
        <w:pStyle w:val="NormalWeb"/>
        <w:tabs>
          <w:tab w:val="left" w:pos="10340"/>
        </w:tabs>
        <w:spacing w:before="0" w:beforeAutospacing="0" w:after="0" w:afterAutospacing="0"/>
        <w:ind w:right="36"/>
        <w:rPr>
          <w:rFonts w:asciiTheme="minorHAnsi" w:hAnsiTheme="minorHAnsi" w:cstheme="minorHAnsi"/>
          <w:sz w:val="22"/>
          <w:szCs w:val="22"/>
        </w:rPr>
      </w:pPr>
      <w:r w:rsidRPr="00241BA1">
        <w:rPr>
          <w:rFonts w:asciiTheme="minorHAnsi" w:hAnsiTheme="minorHAnsi" w:cstheme="minorHAnsi"/>
          <w:sz w:val="22"/>
          <w:szCs w:val="22"/>
        </w:rPr>
        <w:t>Dear Senate Housing Committee</w:t>
      </w:r>
      <w:r w:rsidR="00097B33">
        <w:rPr>
          <w:rFonts w:asciiTheme="minorHAnsi" w:hAnsiTheme="minorHAnsi" w:cstheme="minorHAnsi"/>
          <w:sz w:val="22"/>
          <w:szCs w:val="22"/>
        </w:rPr>
        <w:t>:</w:t>
      </w:r>
    </w:p>
    <w:p w14:paraId="78B39030" w14:textId="77777777" w:rsidR="00BE48C4" w:rsidRDefault="00BE48C4" w:rsidP="00082E3B">
      <w:pPr>
        <w:pStyle w:val="NormalWeb"/>
        <w:tabs>
          <w:tab w:val="left" w:pos="10340"/>
        </w:tabs>
        <w:spacing w:before="0" w:beforeAutospacing="0" w:after="0" w:afterAutospacing="0"/>
        <w:ind w:right="36"/>
        <w:rPr>
          <w:rFonts w:asciiTheme="minorHAnsi" w:hAnsiTheme="minorHAnsi" w:cstheme="minorHAnsi"/>
          <w:sz w:val="22"/>
          <w:szCs w:val="22"/>
        </w:rPr>
      </w:pPr>
    </w:p>
    <w:p w14:paraId="70ED8C18" w14:textId="10665EA7" w:rsidR="00AD2A30" w:rsidRDefault="00BE48C4" w:rsidP="00082E3B">
      <w:pPr>
        <w:pStyle w:val="NormalWeb"/>
        <w:tabs>
          <w:tab w:val="left" w:pos="10340"/>
        </w:tabs>
        <w:spacing w:before="0" w:beforeAutospacing="0" w:after="0" w:afterAutospacing="0"/>
        <w:ind w:right="36"/>
        <w:rPr>
          <w:rFonts w:asciiTheme="minorHAnsi" w:hAnsiTheme="minorHAnsi" w:cstheme="minorHAnsi"/>
          <w:sz w:val="22"/>
          <w:szCs w:val="22"/>
        </w:rPr>
      </w:pPr>
      <w:r w:rsidRPr="00D0759D">
        <w:rPr>
          <w:rFonts w:asciiTheme="minorHAnsi" w:hAnsiTheme="minorHAnsi" w:cstheme="minorHAnsi"/>
          <w:b/>
          <w:bCs/>
          <w:sz w:val="22"/>
          <w:szCs w:val="22"/>
          <w:u w:val="single"/>
        </w:rPr>
        <w:t>We have widespread agreement</w:t>
      </w:r>
      <w:r w:rsidR="00AD2A30" w:rsidRPr="00D0759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AD2A30" w:rsidRPr="00D075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2A30">
        <w:rPr>
          <w:rFonts w:asciiTheme="minorHAnsi" w:hAnsiTheme="minorHAnsi" w:cstheme="minorHAnsi"/>
          <w:sz w:val="22"/>
          <w:szCs w:val="22"/>
        </w:rPr>
        <w:t>Housing costs are going through the roof. Residents can’t afford to live in California. Legislators, parroting the simplicity of the YIMBY narrative, call it a suppl</w:t>
      </w:r>
      <w:r w:rsidR="00285A10">
        <w:rPr>
          <w:rFonts w:asciiTheme="minorHAnsi" w:hAnsiTheme="minorHAnsi" w:cstheme="minorHAnsi"/>
          <w:sz w:val="22"/>
          <w:szCs w:val="22"/>
        </w:rPr>
        <w:t>y</w:t>
      </w:r>
      <w:r w:rsidR="00AD2A30">
        <w:rPr>
          <w:rFonts w:asciiTheme="minorHAnsi" w:hAnsiTheme="minorHAnsi" w:cstheme="minorHAnsi"/>
          <w:sz w:val="22"/>
          <w:szCs w:val="22"/>
        </w:rPr>
        <w:t xml:space="preserve"> and demand crisis. Their solution is to pass bills that make it easier for developers to build more</w:t>
      </w:r>
      <w:r w:rsidR="00C033E6">
        <w:rPr>
          <w:rFonts w:asciiTheme="minorHAnsi" w:hAnsiTheme="minorHAnsi" w:cstheme="minorHAnsi"/>
          <w:sz w:val="22"/>
          <w:szCs w:val="22"/>
        </w:rPr>
        <w:t xml:space="preserve"> units</w:t>
      </w:r>
      <w:r w:rsidR="00AD2A30">
        <w:rPr>
          <w:rFonts w:asciiTheme="minorHAnsi" w:hAnsiTheme="minorHAnsi" w:cstheme="minorHAnsi"/>
          <w:sz w:val="22"/>
          <w:szCs w:val="22"/>
        </w:rPr>
        <w:t xml:space="preserve">, higher, denser, and faster. Who benefits from that? Monopoly investors and developers. </w:t>
      </w:r>
      <w:r w:rsidR="00A75C8D">
        <w:rPr>
          <w:rFonts w:asciiTheme="minorHAnsi" w:hAnsiTheme="minorHAnsi" w:cstheme="minorHAnsi"/>
          <w:sz w:val="22"/>
          <w:szCs w:val="22"/>
        </w:rPr>
        <w:t>Yet h</w:t>
      </w:r>
      <w:r w:rsidR="00C033E6">
        <w:rPr>
          <w:rFonts w:asciiTheme="minorHAnsi" w:hAnsiTheme="minorHAnsi" w:cstheme="minorHAnsi"/>
          <w:sz w:val="22"/>
          <w:szCs w:val="22"/>
        </w:rPr>
        <w:t xml:space="preserve">ousing grows increasingly unaffordable.  </w:t>
      </w:r>
    </w:p>
    <w:p w14:paraId="22406413" w14:textId="77777777" w:rsidR="00AD2A30" w:rsidRDefault="00AD2A30" w:rsidP="00082E3B">
      <w:pPr>
        <w:pStyle w:val="NormalWeb"/>
        <w:tabs>
          <w:tab w:val="left" w:pos="10340"/>
        </w:tabs>
        <w:spacing w:before="0" w:beforeAutospacing="0" w:after="0" w:afterAutospacing="0"/>
        <w:ind w:right="36"/>
        <w:rPr>
          <w:rFonts w:asciiTheme="minorHAnsi" w:hAnsiTheme="minorHAnsi" w:cstheme="minorHAnsi"/>
          <w:sz w:val="22"/>
          <w:szCs w:val="22"/>
        </w:rPr>
      </w:pPr>
    </w:p>
    <w:p w14:paraId="36FEE2E6" w14:textId="3AEB082D" w:rsidR="00BE48C4" w:rsidRPr="00241BA1" w:rsidRDefault="00AD2A30" w:rsidP="00082E3B">
      <w:pPr>
        <w:pStyle w:val="NormalWeb"/>
        <w:tabs>
          <w:tab w:val="left" w:pos="10340"/>
        </w:tabs>
        <w:spacing w:before="0" w:beforeAutospacing="0" w:after="0" w:afterAutospacing="0"/>
        <w:ind w:right="3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Growing research</w:t>
      </w:r>
      <w:r w:rsidR="00D40162">
        <w:rPr>
          <w:rFonts w:asciiTheme="minorHAnsi" w:hAnsiTheme="minorHAnsi" w:cstheme="minorHAnsi"/>
          <w:sz w:val="22"/>
          <w:szCs w:val="22"/>
        </w:rPr>
        <w:t xml:space="preserve"> (see citations below)</w:t>
      </w:r>
      <w:r>
        <w:rPr>
          <w:rFonts w:asciiTheme="minorHAnsi" w:hAnsiTheme="minorHAnsi" w:cstheme="minorHAnsi"/>
          <w:sz w:val="22"/>
          <w:szCs w:val="22"/>
        </w:rPr>
        <w:t xml:space="preserve"> and everyday experience makes it clear: CA housing policy is missing the mark.</w:t>
      </w:r>
      <w:r w:rsidR="00D401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Housing monopolies</w:t>
      </w:r>
      <w:r w:rsidR="00D40162">
        <w:rPr>
          <w:rFonts w:asciiTheme="minorHAnsi" w:hAnsiTheme="minorHAnsi" w:cstheme="minorHAnsi"/>
          <w:sz w:val="22"/>
          <w:szCs w:val="22"/>
        </w:rPr>
        <w:t>, like oil and pharmaceutical giants,</w:t>
      </w:r>
      <w:r>
        <w:rPr>
          <w:rFonts w:asciiTheme="minorHAnsi" w:hAnsiTheme="minorHAnsi" w:cstheme="minorHAnsi"/>
          <w:sz w:val="22"/>
          <w:szCs w:val="22"/>
        </w:rPr>
        <w:t xml:space="preserve"> are becoming</w:t>
      </w:r>
      <w:r w:rsidR="007D5C5D">
        <w:rPr>
          <w:rFonts w:asciiTheme="minorHAnsi" w:hAnsiTheme="minorHAnsi" w:cstheme="minorHAnsi"/>
          <w:sz w:val="22"/>
          <w:szCs w:val="22"/>
        </w:rPr>
        <w:t xml:space="preserve"> more powerful and</w:t>
      </w:r>
      <w:r>
        <w:rPr>
          <w:rFonts w:asciiTheme="minorHAnsi" w:hAnsiTheme="minorHAnsi" w:cstheme="minorHAnsi"/>
          <w:sz w:val="22"/>
          <w:szCs w:val="22"/>
        </w:rPr>
        <w:t xml:space="preserve"> richer while communities and </w:t>
      </w:r>
      <w:r w:rsidR="007D5C5D">
        <w:rPr>
          <w:rFonts w:asciiTheme="minorHAnsi" w:hAnsiTheme="minorHAnsi" w:cstheme="minorHAnsi"/>
          <w:sz w:val="22"/>
          <w:szCs w:val="22"/>
        </w:rPr>
        <w:t>taxpayers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0162">
        <w:rPr>
          <w:rFonts w:asciiTheme="minorHAnsi" w:hAnsiTheme="minorHAnsi" w:cstheme="minorHAnsi"/>
          <w:sz w:val="22"/>
          <w:szCs w:val="22"/>
        </w:rPr>
        <w:t xml:space="preserve">grow poorer, </w:t>
      </w:r>
      <w:r>
        <w:rPr>
          <w:rFonts w:asciiTheme="minorHAnsi" w:hAnsiTheme="minorHAnsi" w:cstheme="minorHAnsi"/>
          <w:sz w:val="22"/>
          <w:szCs w:val="22"/>
        </w:rPr>
        <w:t>shoulder</w:t>
      </w:r>
      <w:r w:rsidR="00D40162">
        <w:rPr>
          <w:rFonts w:asciiTheme="minorHAnsi" w:hAnsiTheme="minorHAnsi" w:cstheme="minorHAnsi"/>
          <w:sz w:val="22"/>
          <w:szCs w:val="22"/>
        </w:rPr>
        <w:t>ing unfunded mandates and</w:t>
      </w:r>
      <w:r>
        <w:rPr>
          <w:rFonts w:asciiTheme="minorHAnsi" w:hAnsiTheme="minorHAnsi" w:cstheme="minorHAnsi"/>
          <w:sz w:val="22"/>
          <w:szCs w:val="22"/>
        </w:rPr>
        <w:t xml:space="preserve"> the financial, environmental, safety, and mental health burdens</w:t>
      </w:r>
      <w:r w:rsidR="00D40162">
        <w:rPr>
          <w:rFonts w:asciiTheme="minorHAnsi" w:hAnsiTheme="minorHAnsi" w:cstheme="minorHAnsi"/>
          <w:sz w:val="22"/>
          <w:szCs w:val="22"/>
        </w:rPr>
        <w:t xml:space="preserve"> of </w:t>
      </w:r>
      <w:r w:rsidR="00C033E6">
        <w:rPr>
          <w:rFonts w:asciiTheme="minorHAnsi" w:hAnsiTheme="minorHAnsi" w:cstheme="minorHAnsi"/>
          <w:sz w:val="22"/>
          <w:szCs w:val="22"/>
        </w:rPr>
        <w:t>special interest</w:t>
      </w:r>
      <w:r w:rsidR="00D40162">
        <w:rPr>
          <w:rFonts w:asciiTheme="minorHAnsi" w:hAnsiTheme="minorHAnsi" w:cstheme="minorHAnsi"/>
          <w:sz w:val="22"/>
          <w:szCs w:val="22"/>
        </w:rPr>
        <w:t xml:space="preserve"> policy.</w:t>
      </w:r>
      <w:r w:rsidR="004168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3E8472" w14:textId="77777777" w:rsidR="00147A5A" w:rsidRDefault="00147A5A" w:rsidP="00C6240C">
      <w:pPr>
        <w:spacing w:after="0" w:line="240" w:lineRule="auto"/>
        <w:rPr>
          <w:rFonts w:cstheme="minorHAnsi"/>
          <w:bCs/>
        </w:rPr>
      </w:pPr>
    </w:p>
    <w:p w14:paraId="259E4769" w14:textId="69287B6D" w:rsidR="00FE6FDA" w:rsidRDefault="007E519B" w:rsidP="00FE6FDA">
      <w:pPr>
        <w:spacing w:after="0" w:line="240" w:lineRule="auto"/>
        <w:rPr>
          <w:rFonts w:cstheme="minorHAnsi"/>
          <w:bCs/>
        </w:rPr>
      </w:pPr>
      <w:r w:rsidRPr="00241BA1">
        <w:rPr>
          <w:rFonts w:cstheme="minorHAnsi"/>
          <w:b/>
          <w:u w:val="single"/>
        </w:rPr>
        <w:t xml:space="preserve">What </w:t>
      </w:r>
      <w:r w:rsidR="00C14080" w:rsidRPr="00241BA1">
        <w:rPr>
          <w:rFonts w:cstheme="minorHAnsi"/>
          <w:b/>
          <w:u w:val="single"/>
        </w:rPr>
        <w:t>is</w:t>
      </w:r>
      <w:r w:rsidRPr="00241BA1">
        <w:rPr>
          <w:rFonts w:cstheme="minorHAnsi"/>
          <w:b/>
          <w:u w:val="single"/>
        </w:rPr>
        <w:t xml:space="preserve"> </w:t>
      </w:r>
      <w:r w:rsidR="00454D25" w:rsidRPr="00241BA1">
        <w:rPr>
          <w:rFonts w:cstheme="minorHAnsi"/>
          <w:b/>
          <w:u w:val="single"/>
        </w:rPr>
        <w:t>the likelihood of success?</w:t>
      </w:r>
      <w:r w:rsidRPr="00241BA1">
        <w:rPr>
          <w:rFonts w:cstheme="minorHAnsi"/>
          <w:bCs/>
        </w:rPr>
        <w:t xml:space="preserve"> </w:t>
      </w:r>
      <w:r w:rsidR="00454D25" w:rsidRPr="00241BA1">
        <w:rPr>
          <w:rFonts w:cstheme="minorHAnsi"/>
          <w:bCs/>
        </w:rPr>
        <w:t xml:space="preserve"> </w:t>
      </w:r>
      <w:r w:rsidR="001A0F90" w:rsidRPr="00241BA1">
        <w:rPr>
          <w:rFonts w:cstheme="minorHAnsi"/>
          <w:bCs/>
        </w:rPr>
        <w:t>Th</w:t>
      </w:r>
      <w:r w:rsidR="00D40162">
        <w:rPr>
          <w:rFonts w:cstheme="minorHAnsi"/>
          <w:bCs/>
        </w:rPr>
        <w:t>ese</w:t>
      </w:r>
      <w:r w:rsidR="001A0F90" w:rsidRPr="00241BA1">
        <w:rPr>
          <w:rFonts w:cstheme="minorHAnsi"/>
          <w:bCs/>
        </w:rPr>
        <w:t xml:space="preserve"> bill</w:t>
      </w:r>
      <w:r w:rsidR="00D40162">
        <w:rPr>
          <w:rFonts w:cstheme="minorHAnsi"/>
          <w:bCs/>
        </w:rPr>
        <w:t>s are</w:t>
      </w:r>
      <w:r w:rsidR="001A0F90" w:rsidRPr="00241BA1">
        <w:rPr>
          <w:rFonts w:cstheme="minorHAnsi"/>
          <w:bCs/>
        </w:rPr>
        <w:t xml:space="preserve"> likely to achieve the developer/investor</w:t>
      </w:r>
      <w:r w:rsidR="00FE6FDA">
        <w:rPr>
          <w:rFonts w:cstheme="minorHAnsi"/>
          <w:bCs/>
        </w:rPr>
        <w:t>s’</w:t>
      </w:r>
      <w:r w:rsidR="001A0F90" w:rsidRPr="00241BA1">
        <w:rPr>
          <w:rFonts w:cstheme="minorHAnsi"/>
          <w:bCs/>
        </w:rPr>
        <w:t xml:space="preserve"> goal</w:t>
      </w:r>
      <w:r w:rsidR="00015E11">
        <w:rPr>
          <w:rFonts w:cstheme="minorHAnsi"/>
          <w:bCs/>
        </w:rPr>
        <w:t xml:space="preserve">s of building high-density </w:t>
      </w:r>
      <w:r w:rsidR="007D5C5D">
        <w:rPr>
          <w:rFonts w:cstheme="minorHAnsi"/>
          <w:bCs/>
        </w:rPr>
        <w:t xml:space="preserve">renter </w:t>
      </w:r>
      <w:r w:rsidR="00015E11">
        <w:rPr>
          <w:rFonts w:cstheme="minorHAnsi"/>
          <w:bCs/>
        </w:rPr>
        <w:t>comp</w:t>
      </w:r>
      <w:r w:rsidR="007607DA">
        <w:rPr>
          <w:rFonts w:cstheme="minorHAnsi"/>
          <w:bCs/>
        </w:rPr>
        <w:t>ounds</w:t>
      </w:r>
      <w:r w:rsidR="00D000A3">
        <w:rPr>
          <w:rFonts w:cstheme="minorHAnsi"/>
          <w:bCs/>
        </w:rPr>
        <w:t xml:space="preserve"> </w:t>
      </w:r>
      <w:r w:rsidR="007D5C5D">
        <w:rPr>
          <w:rFonts w:cstheme="minorHAnsi"/>
          <w:bCs/>
        </w:rPr>
        <w:t xml:space="preserve">that </w:t>
      </w:r>
      <w:r w:rsidR="00D000A3">
        <w:rPr>
          <w:rFonts w:cstheme="minorHAnsi"/>
          <w:bCs/>
        </w:rPr>
        <w:t>make profit</w:t>
      </w:r>
      <w:r w:rsidR="00D40162">
        <w:rPr>
          <w:rFonts w:cstheme="minorHAnsi"/>
          <w:bCs/>
        </w:rPr>
        <w:t xml:space="preserve"> in perpetuity</w:t>
      </w:r>
      <w:r w:rsidR="007D5C5D">
        <w:rPr>
          <w:rFonts w:cstheme="minorHAnsi"/>
          <w:bCs/>
        </w:rPr>
        <w:t xml:space="preserve"> while bankrupting cities</w:t>
      </w:r>
      <w:r w:rsidR="00D000A3">
        <w:rPr>
          <w:rFonts w:cstheme="minorHAnsi"/>
          <w:bCs/>
        </w:rPr>
        <w:t>.</w:t>
      </w:r>
      <w:r w:rsidR="00FE6FDA">
        <w:rPr>
          <w:rFonts w:cstheme="minorHAnsi"/>
          <w:bCs/>
        </w:rPr>
        <w:t xml:space="preserve"> </w:t>
      </w:r>
      <w:r w:rsidR="007D5C5D">
        <w:rPr>
          <w:rFonts w:cstheme="minorHAnsi"/>
          <w:bCs/>
        </w:rPr>
        <w:t>The bills</w:t>
      </w:r>
      <w:r w:rsidR="00461FA5">
        <w:rPr>
          <w:rFonts w:cstheme="minorHAnsi"/>
          <w:bCs/>
        </w:rPr>
        <w:t xml:space="preserve"> fail to meet residents’ goals for wages</w:t>
      </w:r>
      <w:r w:rsidR="007D5C5D">
        <w:rPr>
          <w:rFonts w:cstheme="minorHAnsi"/>
          <w:bCs/>
        </w:rPr>
        <w:t xml:space="preserve"> and </w:t>
      </w:r>
      <w:r w:rsidR="00461FA5">
        <w:rPr>
          <w:rFonts w:cstheme="minorHAnsi"/>
          <w:bCs/>
        </w:rPr>
        <w:t>tax policy that makes housing affordable. T</w:t>
      </w:r>
      <w:r w:rsidR="00D40162">
        <w:rPr>
          <w:rFonts w:cstheme="minorHAnsi"/>
          <w:bCs/>
        </w:rPr>
        <w:t>he bills</w:t>
      </w:r>
      <w:r w:rsidR="00015E11">
        <w:rPr>
          <w:rFonts w:cstheme="minorHAnsi"/>
          <w:bCs/>
        </w:rPr>
        <w:t xml:space="preserve"> undermine the California dream of home ownership</w:t>
      </w:r>
      <w:r w:rsidR="00F357B7">
        <w:rPr>
          <w:rFonts w:cstheme="minorHAnsi"/>
          <w:bCs/>
        </w:rPr>
        <w:t xml:space="preserve">. </w:t>
      </w:r>
      <w:r w:rsidR="00D40162">
        <w:rPr>
          <w:rFonts w:cstheme="minorHAnsi"/>
          <w:bCs/>
        </w:rPr>
        <w:t xml:space="preserve">They </w:t>
      </w:r>
      <w:r w:rsidR="00461FA5">
        <w:rPr>
          <w:rFonts w:cstheme="minorHAnsi"/>
          <w:bCs/>
        </w:rPr>
        <w:t xml:space="preserve">do not protect against </w:t>
      </w:r>
      <w:r w:rsidR="007D5C5D">
        <w:rPr>
          <w:rFonts w:cstheme="minorHAnsi"/>
          <w:bCs/>
        </w:rPr>
        <w:t>sprawl</w:t>
      </w:r>
      <w:r w:rsidR="00461FA5">
        <w:rPr>
          <w:rFonts w:cstheme="minorHAnsi"/>
          <w:bCs/>
        </w:rPr>
        <w:t xml:space="preserve">, nor do they </w:t>
      </w:r>
      <w:r w:rsidR="00D000A3">
        <w:rPr>
          <w:rFonts w:cstheme="minorHAnsi"/>
          <w:bCs/>
        </w:rPr>
        <w:t>enable</w:t>
      </w:r>
      <w:r w:rsidR="00F753B5">
        <w:rPr>
          <w:rFonts w:cstheme="minorHAnsi"/>
          <w:bCs/>
        </w:rPr>
        <w:t xml:space="preserve"> communit</w:t>
      </w:r>
      <w:r w:rsidR="00D000A3">
        <w:rPr>
          <w:rFonts w:cstheme="minorHAnsi"/>
          <w:bCs/>
        </w:rPr>
        <w:t>ies to</w:t>
      </w:r>
      <w:r w:rsidR="00F753B5">
        <w:rPr>
          <w:rFonts w:cstheme="minorHAnsi"/>
          <w:bCs/>
        </w:rPr>
        <w:t xml:space="preserve"> meet</w:t>
      </w:r>
      <w:r w:rsidR="00FE6FDA">
        <w:rPr>
          <w:rStyle w:val="quote-author"/>
        </w:rPr>
        <w:t xml:space="preserve"> the inflated, unre</w:t>
      </w:r>
      <w:r w:rsidR="00461FA5">
        <w:rPr>
          <w:rStyle w:val="quote-author"/>
        </w:rPr>
        <w:t>alistic</w:t>
      </w:r>
      <w:r w:rsidR="00FE6FDA">
        <w:rPr>
          <w:rStyle w:val="quote-author"/>
        </w:rPr>
        <w:t xml:space="preserve"> R</w:t>
      </w:r>
      <w:r w:rsidR="00F357B7">
        <w:rPr>
          <w:rStyle w:val="quote-author"/>
        </w:rPr>
        <w:t>egional Housing Need Allocation (R</w:t>
      </w:r>
      <w:r w:rsidR="00FE6FDA">
        <w:rPr>
          <w:rStyle w:val="quote-author"/>
        </w:rPr>
        <w:t>HNA</w:t>
      </w:r>
      <w:r w:rsidR="00F357B7">
        <w:rPr>
          <w:rStyle w:val="quote-author"/>
        </w:rPr>
        <w:t>)</w:t>
      </w:r>
      <w:r w:rsidR="00FE6FDA">
        <w:rPr>
          <w:rStyle w:val="quote-author"/>
        </w:rPr>
        <w:t xml:space="preserve"> mandates.</w:t>
      </w:r>
    </w:p>
    <w:p w14:paraId="75F0ECE5" w14:textId="77777777" w:rsidR="00804F13" w:rsidRPr="00241BA1" w:rsidRDefault="00804F13" w:rsidP="00D10064">
      <w:pPr>
        <w:spacing w:after="0" w:line="240" w:lineRule="auto"/>
        <w:rPr>
          <w:rFonts w:cstheme="minorHAnsi"/>
          <w:bCs/>
        </w:rPr>
      </w:pPr>
    </w:p>
    <w:p w14:paraId="2D4C68DF" w14:textId="50FEB086" w:rsidR="009D15E4" w:rsidRDefault="00804F13" w:rsidP="001A0F90">
      <w:pPr>
        <w:spacing w:after="0" w:line="240" w:lineRule="auto"/>
        <w:rPr>
          <w:rFonts w:cstheme="minorHAnsi"/>
          <w:b/>
          <w:u w:val="single"/>
        </w:rPr>
      </w:pPr>
      <w:r w:rsidRPr="00241BA1">
        <w:rPr>
          <w:rFonts w:cstheme="minorHAnsi"/>
          <w:b/>
          <w:u w:val="single"/>
        </w:rPr>
        <w:t xml:space="preserve">What </w:t>
      </w:r>
      <w:r w:rsidR="00461FA5">
        <w:rPr>
          <w:rFonts w:cstheme="minorHAnsi"/>
          <w:b/>
          <w:u w:val="single"/>
        </w:rPr>
        <w:t xml:space="preserve">happened to critical thinking, </w:t>
      </w:r>
      <w:r w:rsidR="007C063A">
        <w:rPr>
          <w:rFonts w:cstheme="minorHAnsi"/>
          <w:b/>
          <w:u w:val="single"/>
        </w:rPr>
        <w:t xml:space="preserve">problem analysis, public discourse, and </w:t>
      </w:r>
      <w:r w:rsidR="00461FA5">
        <w:rPr>
          <w:rFonts w:cstheme="minorHAnsi"/>
          <w:b/>
          <w:u w:val="single"/>
        </w:rPr>
        <w:t>transparency?</w:t>
      </w:r>
    </w:p>
    <w:p w14:paraId="46C5CEB2" w14:textId="6A58836A" w:rsidR="002720CE" w:rsidRPr="00461FA5" w:rsidRDefault="007B3365" w:rsidP="002720CE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What has Democratic leadership come to?  </w:t>
      </w:r>
      <w:r w:rsidR="007C063A">
        <w:rPr>
          <w:rFonts w:cstheme="minorHAnsi"/>
          <w:bCs/>
        </w:rPr>
        <w:t xml:space="preserve">The tactics of </w:t>
      </w:r>
      <w:r w:rsidR="00461FA5">
        <w:rPr>
          <w:rFonts w:cstheme="minorHAnsi"/>
          <w:bCs/>
        </w:rPr>
        <w:t>Governor Newsom</w:t>
      </w:r>
      <w:r w:rsidR="007C063A">
        <w:rPr>
          <w:rFonts w:cstheme="minorHAnsi"/>
          <w:bCs/>
        </w:rPr>
        <w:t xml:space="preserve">, </w:t>
      </w:r>
      <w:r w:rsidR="002720CE">
        <w:rPr>
          <w:rFonts w:cstheme="minorHAnsi"/>
          <w:bCs/>
        </w:rPr>
        <w:t xml:space="preserve">Assemblymember Buffy Wicks (AB-130), and </w:t>
      </w:r>
      <w:r w:rsidR="007C063A">
        <w:rPr>
          <w:rFonts w:cstheme="minorHAnsi"/>
          <w:bCs/>
        </w:rPr>
        <w:t>Senator Wiener</w:t>
      </w:r>
      <w:r w:rsidR="002720CE">
        <w:rPr>
          <w:rFonts w:cstheme="minorHAnsi"/>
          <w:bCs/>
        </w:rPr>
        <w:t xml:space="preserve"> (SB-131)</w:t>
      </w:r>
      <w:r w:rsidR="007C063A">
        <w:rPr>
          <w:rFonts w:cstheme="minorHAnsi"/>
          <w:bCs/>
        </w:rPr>
        <w:t xml:space="preserve"> to </w:t>
      </w:r>
      <w:r>
        <w:rPr>
          <w:rFonts w:cstheme="minorHAnsi"/>
          <w:bCs/>
        </w:rPr>
        <w:t>p</w:t>
      </w:r>
      <w:r w:rsidR="002720CE">
        <w:rPr>
          <w:rFonts w:cstheme="minorHAnsi"/>
          <w:bCs/>
        </w:rPr>
        <w:t>ass the most consequential environmental legislation of the decade</w:t>
      </w:r>
      <w:r w:rsidR="00097B33">
        <w:rPr>
          <w:rFonts w:cstheme="minorHAnsi"/>
          <w:bCs/>
        </w:rPr>
        <w:t xml:space="preserve"> as a budget trailer bill</w:t>
      </w:r>
      <w:r w:rsidR="002720CE">
        <w:rPr>
          <w:rFonts w:cstheme="minorHAnsi"/>
          <w:bCs/>
        </w:rPr>
        <w:t xml:space="preserve">, under the threat of missing the budget deadline, is alarming.  </w:t>
      </w:r>
      <w:r w:rsidR="00416890">
        <w:rPr>
          <w:rFonts w:cstheme="minorHAnsi"/>
          <w:bCs/>
        </w:rPr>
        <w:t>You l</w:t>
      </w:r>
      <w:r w:rsidR="002720CE">
        <w:rPr>
          <w:rFonts w:cstheme="minorHAnsi"/>
          <w:bCs/>
        </w:rPr>
        <w:t xml:space="preserve">egislators, who got the language for </w:t>
      </w:r>
      <w:r w:rsidR="00097B33">
        <w:rPr>
          <w:rFonts w:cstheme="minorHAnsi"/>
          <w:bCs/>
        </w:rPr>
        <w:t>endin</w:t>
      </w:r>
      <w:r w:rsidR="0063449C">
        <w:rPr>
          <w:rFonts w:cstheme="minorHAnsi"/>
          <w:bCs/>
        </w:rPr>
        <w:t xml:space="preserve">g </w:t>
      </w:r>
      <w:r w:rsidR="002720CE">
        <w:rPr>
          <w:rFonts w:cstheme="minorHAnsi"/>
          <w:bCs/>
        </w:rPr>
        <w:t>CEQA on Friday</w:t>
      </w:r>
      <w:r w:rsidR="00EC45CF">
        <w:rPr>
          <w:rFonts w:cstheme="minorHAnsi"/>
          <w:bCs/>
        </w:rPr>
        <w:t>,</w:t>
      </w:r>
      <w:r w:rsidR="002720CE">
        <w:rPr>
          <w:rFonts w:cstheme="minorHAnsi"/>
          <w:bCs/>
        </w:rPr>
        <w:t xml:space="preserve"> had to vote on Monday</w:t>
      </w:r>
      <w:r w:rsidR="007D5C5D">
        <w:rPr>
          <w:rFonts w:cstheme="minorHAnsi"/>
          <w:bCs/>
        </w:rPr>
        <w:t xml:space="preserve">. </w:t>
      </w:r>
      <w:r w:rsidR="00416890">
        <w:rPr>
          <w:rFonts w:cstheme="minorHAnsi"/>
          <w:bCs/>
        </w:rPr>
        <w:t>You</w:t>
      </w:r>
      <w:r w:rsidR="0063449C">
        <w:rPr>
          <w:rFonts w:cstheme="minorHAnsi"/>
          <w:bCs/>
        </w:rPr>
        <w:t xml:space="preserve"> </w:t>
      </w:r>
      <w:r w:rsidR="002720CE">
        <w:rPr>
          <w:rFonts w:cstheme="minorHAnsi"/>
          <w:bCs/>
        </w:rPr>
        <w:t>were by-standers to procedure</w:t>
      </w:r>
      <w:r w:rsidR="00C033E6">
        <w:rPr>
          <w:rFonts w:cstheme="minorHAnsi"/>
          <w:bCs/>
        </w:rPr>
        <w:t>s</w:t>
      </w:r>
      <w:r w:rsidR="002720CE">
        <w:rPr>
          <w:rFonts w:cstheme="minorHAnsi"/>
          <w:bCs/>
        </w:rPr>
        <w:t xml:space="preserve"> that normally require committee hearings and public</w:t>
      </w:r>
      <w:r w:rsidR="00C033E6">
        <w:rPr>
          <w:rFonts w:cstheme="minorHAnsi"/>
          <w:bCs/>
        </w:rPr>
        <w:t xml:space="preserve"> and media</w:t>
      </w:r>
      <w:r w:rsidR="002720CE">
        <w:rPr>
          <w:rFonts w:cstheme="minorHAnsi"/>
          <w:bCs/>
        </w:rPr>
        <w:t xml:space="preserve"> input. </w:t>
      </w:r>
      <w:r w:rsidR="00416890">
        <w:rPr>
          <w:rFonts w:cstheme="minorHAnsi"/>
          <w:bCs/>
        </w:rPr>
        <w:t>The scenario</w:t>
      </w:r>
      <w:r w:rsidR="002720CE">
        <w:rPr>
          <w:rFonts w:cstheme="minorHAnsi"/>
          <w:bCs/>
        </w:rPr>
        <w:t xml:space="preserve"> disturbingly look</w:t>
      </w:r>
      <w:r w:rsidR="00416890">
        <w:rPr>
          <w:rFonts w:cstheme="minorHAnsi"/>
          <w:bCs/>
        </w:rPr>
        <w:t>s</w:t>
      </w:r>
      <w:r w:rsidR="002720CE">
        <w:rPr>
          <w:rFonts w:cstheme="minorHAnsi"/>
          <w:bCs/>
        </w:rPr>
        <w:t xml:space="preserve"> like Congress forcing through the president’s “Big Beautiful Bill.” </w:t>
      </w:r>
      <w:r w:rsidR="00416890">
        <w:rPr>
          <w:rFonts w:cstheme="minorHAnsi"/>
          <w:bCs/>
        </w:rPr>
        <w:t>We must do better.</w:t>
      </w:r>
    </w:p>
    <w:p w14:paraId="7EF701B6" w14:textId="77777777" w:rsidR="00241BA1" w:rsidRPr="00241BA1" w:rsidRDefault="00241BA1" w:rsidP="00D10064">
      <w:pPr>
        <w:spacing w:after="0" w:line="240" w:lineRule="auto"/>
        <w:rPr>
          <w:rFonts w:cstheme="minorHAnsi"/>
          <w:bCs/>
        </w:rPr>
      </w:pPr>
    </w:p>
    <w:p w14:paraId="3EFFF513" w14:textId="6C6A6AE8" w:rsidR="00EC45CF" w:rsidRDefault="00EC45CF" w:rsidP="00EC45CF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b/>
          <w:u w:val="single"/>
        </w:rPr>
        <w:t>We urge you to</w:t>
      </w:r>
      <w:r w:rsidR="00C033E6">
        <w:rPr>
          <w:rFonts w:cstheme="minorHAnsi"/>
          <w:b/>
          <w:u w:val="single"/>
        </w:rPr>
        <w:t xml:space="preserve"> support constituents. </w:t>
      </w:r>
      <w:r w:rsidR="002D1BFF" w:rsidRPr="00241BA1">
        <w:rPr>
          <w:rFonts w:cstheme="minorHAnsi"/>
          <w:b/>
          <w:u w:val="single"/>
        </w:rPr>
        <w:t xml:space="preserve"> </w:t>
      </w:r>
      <w:r w:rsidR="00E10E33" w:rsidRPr="00241BA1">
        <w:rPr>
          <w:rFonts w:cstheme="minorHAnsi"/>
          <w:b/>
          <w:u w:val="single"/>
        </w:rPr>
        <w:t>OPPOSE</w:t>
      </w:r>
      <w:r w:rsidR="00C6240C" w:rsidRPr="00241BA1">
        <w:rPr>
          <w:rFonts w:cstheme="minorHAnsi"/>
          <w:b/>
          <w:u w:val="single"/>
        </w:rPr>
        <w:t xml:space="preserve"> </w:t>
      </w:r>
      <w:r w:rsidR="007D5C5D">
        <w:rPr>
          <w:rFonts w:cstheme="minorHAnsi"/>
          <w:b/>
          <w:u w:val="single"/>
        </w:rPr>
        <w:t xml:space="preserve">these </w:t>
      </w:r>
      <w:r w:rsidR="00097B33">
        <w:rPr>
          <w:rFonts w:cstheme="minorHAnsi"/>
          <w:b/>
          <w:u w:val="single"/>
        </w:rPr>
        <w:t xml:space="preserve">five </w:t>
      </w:r>
      <w:r w:rsidR="007D5C5D">
        <w:rPr>
          <w:rFonts w:cstheme="minorHAnsi"/>
          <w:b/>
          <w:u w:val="single"/>
        </w:rPr>
        <w:t>bills</w:t>
      </w:r>
      <w:r w:rsidR="007F7325" w:rsidRPr="00241BA1">
        <w:rPr>
          <w:rFonts w:cstheme="minorHAnsi"/>
          <w:bCs/>
        </w:rPr>
        <w:t>.</w:t>
      </w:r>
    </w:p>
    <w:p w14:paraId="54AEC0CD" w14:textId="7A1627C0" w:rsidR="00877A07" w:rsidRPr="00EC45CF" w:rsidRDefault="00851106" w:rsidP="00EC45CF">
      <w:pPr>
        <w:spacing w:after="0" w:line="240" w:lineRule="auto"/>
        <w:rPr>
          <w:rStyle w:val="redactor-invisible-space"/>
          <w:rFonts w:cstheme="minorHAnsi"/>
          <w:bCs/>
        </w:rPr>
      </w:pPr>
      <w:r w:rsidRPr="00241BA1">
        <w:rPr>
          <w:rStyle w:val="redactor-invisible-space"/>
          <w:rFonts w:cstheme="minorHAnsi"/>
        </w:rPr>
        <w:t>S</w:t>
      </w:r>
      <w:r w:rsidR="00877A07" w:rsidRPr="00241BA1">
        <w:rPr>
          <w:rStyle w:val="redactor-invisible-space"/>
          <w:rFonts w:cstheme="minorHAnsi"/>
        </w:rPr>
        <w:t>incerely,</w:t>
      </w:r>
    </w:p>
    <w:p w14:paraId="4F27486C" w14:textId="77777777" w:rsidR="00877A07" w:rsidRPr="00241BA1" w:rsidRDefault="00877A07" w:rsidP="00082E3B">
      <w:pPr>
        <w:pStyle w:val="NormalWeb"/>
        <w:tabs>
          <w:tab w:val="left" w:pos="10340"/>
        </w:tabs>
        <w:spacing w:before="0" w:beforeAutospacing="0" w:after="0" w:afterAutospacing="0"/>
        <w:ind w:right="36"/>
        <w:rPr>
          <w:rStyle w:val="redactor-invisible-space"/>
          <w:rFonts w:asciiTheme="minorHAnsi" w:hAnsiTheme="minorHAnsi" w:cstheme="minorHAnsi"/>
          <w:sz w:val="22"/>
          <w:szCs w:val="22"/>
        </w:rPr>
      </w:pPr>
      <w:r w:rsidRPr="00241BA1">
        <w:rPr>
          <w:rStyle w:val="redactor-invisible-space"/>
          <w:rFonts w:asciiTheme="minorHAnsi" w:hAnsiTheme="minorHAnsi" w:cstheme="minorHAnsi"/>
          <w:sz w:val="22"/>
          <w:szCs w:val="22"/>
        </w:rPr>
        <w:t xml:space="preserve"> </w:t>
      </w:r>
      <w:r w:rsidRPr="00241BA1">
        <w:rPr>
          <w:rStyle w:val="redactor-invisible-space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0DAA41F" wp14:editId="42E97F82">
            <wp:extent cx="2623287" cy="301797"/>
            <wp:effectExtent l="0" t="0" r="0" b="3175"/>
            <wp:docPr id="1331630359" name="Picture 1331630359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30359" name="Picture 1331630359" descr="A black and white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3287" cy="30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62F3B" w14:textId="77777777" w:rsidR="00082E3B" w:rsidRPr="00241BA1" w:rsidRDefault="00877A07" w:rsidP="00082E3B">
      <w:pPr>
        <w:pStyle w:val="NormalWeb"/>
        <w:tabs>
          <w:tab w:val="left" w:pos="10340"/>
        </w:tabs>
        <w:spacing w:before="0" w:beforeAutospacing="0" w:after="0" w:afterAutospacing="0"/>
        <w:ind w:right="36"/>
        <w:rPr>
          <w:rStyle w:val="redactor-invisible-space"/>
          <w:rFonts w:asciiTheme="minorHAnsi" w:hAnsiTheme="minorHAnsi" w:cstheme="minorHAnsi"/>
          <w:sz w:val="22"/>
          <w:szCs w:val="22"/>
        </w:rPr>
      </w:pPr>
      <w:r w:rsidRPr="00241BA1">
        <w:rPr>
          <w:rStyle w:val="redactor-invisible-space"/>
          <w:rFonts w:asciiTheme="minorHAnsi" w:hAnsiTheme="minorHAnsi" w:cstheme="minorHAnsi"/>
          <w:sz w:val="22"/>
          <w:szCs w:val="22"/>
        </w:rPr>
        <w:t>Susan Kirsch, Director</w:t>
      </w:r>
    </w:p>
    <w:p w14:paraId="4D358F8A" w14:textId="601DABCE" w:rsidR="00C14080" w:rsidRPr="002D3CF4" w:rsidRDefault="00877A07" w:rsidP="002D3CF4">
      <w:pPr>
        <w:pStyle w:val="NormalWeb"/>
        <w:tabs>
          <w:tab w:val="left" w:pos="10340"/>
        </w:tabs>
        <w:spacing w:before="0" w:beforeAutospacing="0" w:after="0" w:afterAutospacing="0"/>
        <w:ind w:right="36"/>
        <w:rPr>
          <w:rFonts w:asciiTheme="minorHAnsi" w:hAnsiTheme="minorHAnsi" w:cstheme="minorHAnsi"/>
          <w:sz w:val="22"/>
          <w:szCs w:val="22"/>
        </w:rPr>
      </w:pPr>
      <w:r w:rsidRPr="00241BA1">
        <w:rPr>
          <w:rStyle w:val="redactor-invisible-space"/>
          <w:rFonts w:asciiTheme="minorHAnsi" w:hAnsiTheme="minorHAnsi" w:cstheme="minorHAnsi"/>
          <w:sz w:val="22"/>
          <w:szCs w:val="22"/>
        </w:rPr>
        <w:t>Catalysts for Local Control</w:t>
      </w:r>
    </w:p>
    <w:p w14:paraId="6712E597" w14:textId="77777777" w:rsidR="002D3CF4" w:rsidRDefault="002D3CF4" w:rsidP="00A973E1">
      <w:pPr>
        <w:pStyle w:val="NormalWeb"/>
        <w:tabs>
          <w:tab w:val="left" w:pos="10340"/>
        </w:tabs>
        <w:spacing w:before="0" w:beforeAutospacing="0" w:after="0" w:afterAutospacing="0"/>
        <w:ind w:right="36"/>
        <w:rPr>
          <w:rFonts w:asciiTheme="minorHAnsi" w:hAnsiTheme="minorHAnsi" w:cstheme="minorHAnsi"/>
        </w:rPr>
      </w:pPr>
    </w:p>
    <w:p w14:paraId="673BD683" w14:textId="4BB50198" w:rsidR="00E21C08" w:rsidRPr="0065600B" w:rsidRDefault="009C56EE" w:rsidP="00A973E1">
      <w:pPr>
        <w:pStyle w:val="NormalWeb"/>
        <w:tabs>
          <w:tab w:val="left" w:pos="10340"/>
        </w:tabs>
        <w:spacing w:before="0" w:beforeAutospacing="0" w:after="0" w:afterAutospacing="0"/>
        <w:ind w:right="36"/>
        <w:rPr>
          <w:rFonts w:asciiTheme="minorHAnsi" w:hAnsiTheme="minorHAnsi" w:cstheme="minorHAnsi"/>
        </w:rPr>
      </w:pPr>
      <w:r w:rsidRPr="0065600B">
        <w:rPr>
          <w:rFonts w:asciiTheme="minorHAnsi" w:hAnsiTheme="minorHAnsi" w:cstheme="minorHAnsi"/>
        </w:rPr>
        <w:t>Citations:</w:t>
      </w:r>
    </w:p>
    <w:p w14:paraId="5EC74560" w14:textId="77777777" w:rsidR="00CA6BCD" w:rsidRPr="00EC45CF" w:rsidRDefault="00CA6BCD" w:rsidP="00CA6BCD">
      <w:pPr>
        <w:pStyle w:val="ListParagraph"/>
        <w:numPr>
          <w:ilvl w:val="0"/>
          <w:numId w:val="21"/>
        </w:numPr>
        <w:ind w:left="360"/>
        <w:rPr>
          <w:rFonts w:cstheme="minorHAnsi"/>
        </w:rPr>
      </w:pPr>
      <w:hyperlink r:id="rId8" w:history="1">
        <w:r w:rsidRPr="00EC45CF">
          <w:rPr>
            <w:rStyle w:val="Hyperlink"/>
            <w:rFonts w:cstheme="minorHAnsi"/>
          </w:rPr>
          <w:t>https://www.newgeography.com/content/007221-higher-urban-densities-associated-with-worst-housing-affordability</w:t>
        </w:r>
      </w:hyperlink>
    </w:p>
    <w:p w14:paraId="5A9A162E" w14:textId="77777777" w:rsidR="00CA6BCD" w:rsidRPr="00EC45CF" w:rsidRDefault="00CA6BCD" w:rsidP="00CA6BCD">
      <w:pPr>
        <w:pStyle w:val="ListParagraph"/>
        <w:numPr>
          <w:ilvl w:val="0"/>
          <w:numId w:val="21"/>
        </w:numPr>
        <w:ind w:left="360"/>
        <w:rPr>
          <w:rStyle w:val="page-headerauthor-item"/>
          <w:rFonts w:cstheme="minorHAnsi"/>
        </w:rPr>
      </w:pPr>
      <w:hyperlink r:id="rId9" w:history="1">
        <w:r w:rsidRPr="00EC45CF">
          <w:rPr>
            <w:rStyle w:val="Hyperlink"/>
            <w:rFonts w:cstheme="minorHAnsi"/>
          </w:rPr>
          <w:t>https://www.cato.org/commentary/density-makes-housing-less-affordable-not-more#</w:t>
        </w:r>
      </w:hyperlink>
    </w:p>
    <w:p w14:paraId="4BF74CD8" w14:textId="0A17D746" w:rsidR="00E21C08" w:rsidRPr="00EC45CF" w:rsidRDefault="002D3CF4" w:rsidP="002D3CF4">
      <w:pPr>
        <w:pStyle w:val="ListParagraph"/>
        <w:numPr>
          <w:ilvl w:val="0"/>
          <w:numId w:val="21"/>
        </w:numPr>
        <w:ind w:left="360"/>
        <w:rPr>
          <w:rStyle w:val="page-headerauthor-item"/>
          <w:rFonts w:cstheme="minorHAnsi"/>
        </w:rPr>
      </w:pPr>
      <w:hyperlink r:id="rId10" w:history="1">
        <w:r w:rsidRPr="00EC45CF">
          <w:rPr>
            <w:rStyle w:val="Hyperlink"/>
            <w:rFonts w:cstheme="minorHAnsi"/>
            <w:sz w:val="21"/>
            <w:szCs w:val="21"/>
          </w:rPr>
          <w:t>https://www.nber.org/papers/w33576</w:t>
        </w:r>
      </w:hyperlink>
      <w:r w:rsidR="009C56EE" w:rsidRPr="00EC45CF">
        <w:rPr>
          <w:rFonts w:cstheme="minorHAnsi"/>
          <w:sz w:val="21"/>
          <w:szCs w:val="21"/>
        </w:rPr>
        <w:t xml:space="preserve"> - Supply Constraints do not Explain House Price and Quantity Growth Across U.S. </w:t>
      </w:r>
      <w:proofErr w:type="gramStart"/>
      <w:r w:rsidR="009C56EE" w:rsidRPr="00EC45CF">
        <w:rPr>
          <w:rFonts w:cstheme="minorHAnsi"/>
          <w:sz w:val="21"/>
          <w:szCs w:val="21"/>
        </w:rPr>
        <w:t>Cities;</w:t>
      </w:r>
      <w:proofErr w:type="gramEnd"/>
      <w:r w:rsidR="00416890">
        <w:rPr>
          <w:rFonts w:cstheme="minorHAnsi"/>
          <w:sz w:val="21"/>
          <w:szCs w:val="21"/>
        </w:rPr>
        <w:t xml:space="preserve"> Louie Schuyler, John A. Mondragon, &amp; Johannes Wieland </w:t>
      </w:r>
      <w:r w:rsidR="009C56EE" w:rsidRPr="00EC45CF">
        <w:rPr>
          <w:rFonts w:cstheme="minorHAnsi"/>
          <w:sz w:val="21"/>
          <w:szCs w:val="21"/>
        </w:rPr>
        <w:t xml:space="preserve"> </w:t>
      </w:r>
    </w:p>
    <w:p w14:paraId="7F840E03" w14:textId="6B47A104" w:rsidR="00C14080" w:rsidRPr="00EC45CF" w:rsidRDefault="002D3CF4" w:rsidP="00EC45CF">
      <w:pPr>
        <w:pStyle w:val="ListParagraph"/>
        <w:numPr>
          <w:ilvl w:val="0"/>
          <w:numId w:val="21"/>
        </w:numPr>
        <w:ind w:left="360"/>
        <w:rPr>
          <w:rFonts w:cstheme="minorHAnsi"/>
        </w:rPr>
      </w:pPr>
      <w:hyperlink r:id="rId11" w:history="1">
        <w:r w:rsidRPr="00EC45CF">
          <w:rPr>
            <w:rStyle w:val="Hyperlink"/>
            <w:rFonts w:cstheme="minorHAnsi"/>
            <w:sz w:val="21"/>
            <w:szCs w:val="21"/>
          </w:rPr>
          <w:t>https://48hills.org/2025/03/new-study-by-fed-economists-directly-contradicts-yimby-narrative-on-housing-prices/</w:t>
        </w:r>
      </w:hyperlink>
    </w:p>
    <w:sectPr w:rsidR="00C14080" w:rsidRPr="00EC45CF" w:rsidSect="008304C8">
      <w:headerReference w:type="default" r:id="rId12"/>
      <w:pgSz w:w="12240" w:h="15840" w:code="1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89B4" w14:textId="77777777" w:rsidR="00DA5299" w:rsidRDefault="00DA5299" w:rsidP="00EE181B">
      <w:pPr>
        <w:spacing w:after="0" w:line="240" w:lineRule="auto"/>
      </w:pPr>
      <w:r>
        <w:separator/>
      </w:r>
    </w:p>
  </w:endnote>
  <w:endnote w:type="continuationSeparator" w:id="0">
    <w:p w14:paraId="5A167564" w14:textId="77777777" w:rsidR="00DA5299" w:rsidRDefault="00DA5299" w:rsidP="00EE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0D08" w14:textId="77777777" w:rsidR="00DA5299" w:rsidRDefault="00DA5299" w:rsidP="00EE181B">
      <w:pPr>
        <w:spacing w:after="0" w:line="240" w:lineRule="auto"/>
      </w:pPr>
      <w:r>
        <w:separator/>
      </w:r>
    </w:p>
  </w:footnote>
  <w:footnote w:type="continuationSeparator" w:id="0">
    <w:p w14:paraId="70A4CF6F" w14:textId="77777777" w:rsidR="00DA5299" w:rsidRDefault="00DA5299" w:rsidP="00EE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882B" w14:textId="48EA40F3" w:rsidR="00114A3D" w:rsidRDefault="008304C8" w:rsidP="00114A3D">
    <w:pPr>
      <w:spacing w:after="0" w:line="24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5DCA94C0" wp14:editId="64052DE8">
          <wp:extent cx="1515745" cy="400050"/>
          <wp:effectExtent l="0" t="0" r="8255" b="0"/>
          <wp:docPr id="11929210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921043" name="Picture 1192921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222" cy="43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B9424" w14:textId="77777777" w:rsidR="00114A3D" w:rsidRPr="00114A3D" w:rsidRDefault="00114A3D" w:rsidP="00114A3D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114A3D">
      <w:rPr>
        <w:rFonts w:ascii="Times New Roman" w:hAnsi="Times New Roman" w:cs="Times New Roman"/>
        <w:sz w:val="20"/>
        <w:szCs w:val="20"/>
      </w:rPr>
      <w:t>POB 1703, Mill Valley, CA 94942</w:t>
    </w:r>
  </w:p>
  <w:p w14:paraId="46BEFD99" w14:textId="77777777" w:rsidR="00114A3D" w:rsidRPr="00114A3D" w:rsidRDefault="00114A3D" w:rsidP="00114A3D">
    <w:pPr>
      <w:spacing w:after="0" w:line="240" w:lineRule="auto"/>
      <w:jc w:val="center"/>
      <w:rPr>
        <w:rFonts w:ascii="Times New Roman" w:hAnsi="Times New Roman" w:cs="Times New Roman"/>
        <w:sz w:val="21"/>
        <w:szCs w:val="21"/>
      </w:rPr>
    </w:pPr>
    <w:r w:rsidRPr="00114A3D">
      <w:rPr>
        <w:rFonts w:ascii="Times New Roman" w:hAnsi="Times New Roman" w:cs="Times New Roman"/>
        <w:sz w:val="21"/>
        <w:szCs w:val="21"/>
      </w:rPr>
      <w:t>CatalystsCA.org     415-686-4375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850"/>
    <w:multiLevelType w:val="hybridMultilevel"/>
    <w:tmpl w:val="79CC082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4F258F8"/>
    <w:multiLevelType w:val="hybridMultilevel"/>
    <w:tmpl w:val="BAA62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2627"/>
    <w:multiLevelType w:val="hybridMultilevel"/>
    <w:tmpl w:val="C9544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1A12"/>
    <w:multiLevelType w:val="hybridMultilevel"/>
    <w:tmpl w:val="694E3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2CFA"/>
    <w:multiLevelType w:val="hybridMultilevel"/>
    <w:tmpl w:val="4A668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35170"/>
    <w:multiLevelType w:val="hybridMultilevel"/>
    <w:tmpl w:val="E852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82984"/>
    <w:multiLevelType w:val="hybridMultilevel"/>
    <w:tmpl w:val="C4489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54805"/>
    <w:multiLevelType w:val="hybridMultilevel"/>
    <w:tmpl w:val="355A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84414"/>
    <w:multiLevelType w:val="hybridMultilevel"/>
    <w:tmpl w:val="EA8C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84CE7"/>
    <w:multiLevelType w:val="hybridMultilevel"/>
    <w:tmpl w:val="051C3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571075"/>
    <w:multiLevelType w:val="hybridMultilevel"/>
    <w:tmpl w:val="033EB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E0CE6"/>
    <w:multiLevelType w:val="hybridMultilevel"/>
    <w:tmpl w:val="013E25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33C75"/>
    <w:multiLevelType w:val="hybridMultilevel"/>
    <w:tmpl w:val="D136A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D3FE4"/>
    <w:multiLevelType w:val="multilevel"/>
    <w:tmpl w:val="BAA624D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E7170"/>
    <w:multiLevelType w:val="multilevel"/>
    <w:tmpl w:val="2E40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EE4694"/>
    <w:multiLevelType w:val="hybridMultilevel"/>
    <w:tmpl w:val="E61EBB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6D27"/>
    <w:multiLevelType w:val="hybridMultilevel"/>
    <w:tmpl w:val="4232C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85B47"/>
    <w:multiLevelType w:val="hybridMultilevel"/>
    <w:tmpl w:val="D49C1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C1A24"/>
    <w:multiLevelType w:val="hybridMultilevel"/>
    <w:tmpl w:val="06D0C3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2344B"/>
    <w:multiLevelType w:val="hybridMultilevel"/>
    <w:tmpl w:val="D1C04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D2129"/>
    <w:multiLevelType w:val="hybridMultilevel"/>
    <w:tmpl w:val="AA921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307EA"/>
    <w:multiLevelType w:val="hybridMultilevel"/>
    <w:tmpl w:val="863C4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04F"/>
    <w:multiLevelType w:val="hybridMultilevel"/>
    <w:tmpl w:val="A98C0998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161971441">
    <w:abstractNumId w:val="5"/>
  </w:num>
  <w:num w:numId="2" w16cid:durableId="38675697">
    <w:abstractNumId w:val="22"/>
  </w:num>
  <w:num w:numId="3" w16cid:durableId="1456942966">
    <w:abstractNumId w:val="0"/>
  </w:num>
  <w:num w:numId="4" w16cid:durableId="607322522">
    <w:abstractNumId w:val="9"/>
  </w:num>
  <w:num w:numId="5" w16cid:durableId="1929002834">
    <w:abstractNumId w:val="19"/>
  </w:num>
  <w:num w:numId="6" w16cid:durableId="2029790088">
    <w:abstractNumId w:val="17"/>
  </w:num>
  <w:num w:numId="7" w16cid:durableId="1110735525">
    <w:abstractNumId w:val="20"/>
  </w:num>
  <w:num w:numId="8" w16cid:durableId="1583681394">
    <w:abstractNumId w:val="10"/>
  </w:num>
  <w:num w:numId="9" w16cid:durableId="463430165">
    <w:abstractNumId w:val="2"/>
  </w:num>
  <w:num w:numId="10" w16cid:durableId="159471185">
    <w:abstractNumId w:val="7"/>
  </w:num>
  <w:num w:numId="11" w16cid:durableId="1418795196">
    <w:abstractNumId w:val="8"/>
  </w:num>
  <w:num w:numId="12" w16cid:durableId="529807088">
    <w:abstractNumId w:val="15"/>
  </w:num>
  <w:num w:numId="13" w16cid:durableId="838037429">
    <w:abstractNumId w:val="11"/>
  </w:num>
  <w:num w:numId="14" w16cid:durableId="1054618983">
    <w:abstractNumId w:val="18"/>
  </w:num>
  <w:num w:numId="15" w16cid:durableId="914436263">
    <w:abstractNumId w:val="16"/>
  </w:num>
  <w:num w:numId="16" w16cid:durableId="634025845">
    <w:abstractNumId w:val="6"/>
  </w:num>
  <w:num w:numId="17" w16cid:durableId="1337267704">
    <w:abstractNumId w:val="14"/>
  </w:num>
  <w:num w:numId="18" w16cid:durableId="1653489430">
    <w:abstractNumId w:val="21"/>
  </w:num>
  <w:num w:numId="19" w16cid:durableId="2059162116">
    <w:abstractNumId w:val="12"/>
  </w:num>
  <w:num w:numId="20" w16cid:durableId="370690594">
    <w:abstractNumId w:val="3"/>
  </w:num>
  <w:num w:numId="21" w16cid:durableId="2142579067">
    <w:abstractNumId w:val="1"/>
  </w:num>
  <w:num w:numId="22" w16cid:durableId="1449740535">
    <w:abstractNumId w:val="13"/>
  </w:num>
  <w:num w:numId="23" w16cid:durableId="1920553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BC"/>
    <w:rsid w:val="00000069"/>
    <w:rsid w:val="0000135B"/>
    <w:rsid w:val="000031BC"/>
    <w:rsid w:val="000129F4"/>
    <w:rsid w:val="00012F86"/>
    <w:rsid w:val="00015E11"/>
    <w:rsid w:val="0002569E"/>
    <w:rsid w:val="00036012"/>
    <w:rsid w:val="00042750"/>
    <w:rsid w:val="00056C9F"/>
    <w:rsid w:val="00057AA1"/>
    <w:rsid w:val="00061A4E"/>
    <w:rsid w:val="000620EC"/>
    <w:rsid w:val="000626CA"/>
    <w:rsid w:val="00064798"/>
    <w:rsid w:val="00064B73"/>
    <w:rsid w:val="0006737E"/>
    <w:rsid w:val="00077B51"/>
    <w:rsid w:val="000822C7"/>
    <w:rsid w:val="00082E3B"/>
    <w:rsid w:val="00085F58"/>
    <w:rsid w:val="00092D2E"/>
    <w:rsid w:val="00096220"/>
    <w:rsid w:val="00096D49"/>
    <w:rsid w:val="00097B33"/>
    <w:rsid w:val="000B310C"/>
    <w:rsid w:val="000C5E1A"/>
    <w:rsid w:val="000D2698"/>
    <w:rsid w:val="000E3661"/>
    <w:rsid w:val="000F14C0"/>
    <w:rsid w:val="00114A3D"/>
    <w:rsid w:val="0011617A"/>
    <w:rsid w:val="00134374"/>
    <w:rsid w:val="00147A5A"/>
    <w:rsid w:val="00162C81"/>
    <w:rsid w:val="00174E5C"/>
    <w:rsid w:val="00177BC5"/>
    <w:rsid w:val="001941A0"/>
    <w:rsid w:val="001A0F90"/>
    <w:rsid w:val="001A59D2"/>
    <w:rsid w:val="001D0550"/>
    <w:rsid w:val="001F1B24"/>
    <w:rsid w:val="00201CFA"/>
    <w:rsid w:val="00210985"/>
    <w:rsid w:val="00220097"/>
    <w:rsid w:val="00223B93"/>
    <w:rsid w:val="002250C8"/>
    <w:rsid w:val="00227253"/>
    <w:rsid w:val="00241BA1"/>
    <w:rsid w:val="002433A3"/>
    <w:rsid w:val="002456C4"/>
    <w:rsid w:val="00251CEC"/>
    <w:rsid w:val="00255154"/>
    <w:rsid w:val="00256161"/>
    <w:rsid w:val="00257049"/>
    <w:rsid w:val="00265B7F"/>
    <w:rsid w:val="002720CE"/>
    <w:rsid w:val="0027370A"/>
    <w:rsid w:val="00281C7A"/>
    <w:rsid w:val="00285A10"/>
    <w:rsid w:val="00294558"/>
    <w:rsid w:val="0029751C"/>
    <w:rsid w:val="002A4D35"/>
    <w:rsid w:val="002A59E0"/>
    <w:rsid w:val="002A5EBC"/>
    <w:rsid w:val="002A6088"/>
    <w:rsid w:val="002D1BFF"/>
    <w:rsid w:val="002D3CF4"/>
    <w:rsid w:val="002D639D"/>
    <w:rsid w:val="002D6953"/>
    <w:rsid w:val="002E5281"/>
    <w:rsid w:val="002E755C"/>
    <w:rsid w:val="002F1603"/>
    <w:rsid w:val="00307711"/>
    <w:rsid w:val="003143E4"/>
    <w:rsid w:val="003264F6"/>
    <w:rsid w:val="00330E6F"/>
    <w:rsid w:val="00334793"/>
    <w:rsid w:val="00340EAF"/>
    <w:rsid w:val="0035464E"/>
    <w:rsid w:val="003725AA"/>
    <w:rsid w:val="003801E5"/>
    <w:rsid w:val="003818A8"/>
    <w:rsid w:val="003A03B4"/>
    <w:rsid w:val="003B52B7"/>
    <w:rsid w:val="003B71FB"/>
    <w:rsid w:val="003C5389"/>
    <w:rsid w:val="003C56ED"/>
    <w:rsid w:val="003D69E7"/>
    <w:rsid w:val="003E586A"/>
    <w:rsid w:val="00400EC8"/>
    <w:rsid w:val="004039E1"/>
    <w:rsid w:val="00405C7A"/>
    <w:rsid w:val="00416890"/>
    <w:rsid w:val="00426412"/>
    <w:rsid w:val="0043100D"/>
    <w:rsid w:val="00433270"/>
    <w:rsid w:val="00433C2F"/>
    <w:rsid w:val="0043730D"/>
    <w:rsid w:val="00437EA3"/>
    <w:rsid w:val="00440650"/>
    <w:rsid w:val="004437AE"/>
    <w:rsid w:val="00453844"/>
    <w:rsid w:val="0045465C"/>
    <w:rsid w:val="00454D25"/>
    <w:rsid w:val="00461FA5"/>
    <w:rsid w:val="004625FF"/>
    <w:rsid w:val="00484904"/>
    <w:rsid w:val="0049150C"/>
    <w:rsid w:val="004931E6"/>
    <w:rsid w:val="00496B28"/>
    <w:rsid w:val="004A63F2"/>
    <w:rsid w:val="004A7644"/>
    <w:rsid w:val="004B6797"/>
    <w:rsid w:val="004C340F"/>
    <w:rsid w:val="004C4E57"/>
    <w:rsid w:val="004C4F57"/>
    <w:rsid w:val="004E7BD4"/>
    <w:rsid w:val="004F4BBA"/>
    <w:rsid w:val="004F784F"/>
    <w:rsid w:val="00502D9B"/>
    <w:rsid w:val="005119E7"/>
    <w:rsid w:val="005309A0"/>
    <w:rsid w:val="00535148"/>
    <w:rsid w:val="00546817"/>
    <w:rsid w:val="005707A3"/>
    <w:rsid w:val="005716B0"/>
    <w:rsid w:val="00575361"/>
    <w:rsid w:val="00575829"/>
    <w:rsid w:val="00577764"/>
    <w:rsid w:val="005930DC"/>
    <w:rsid w:val="005936E8"/>
    <w:rsid w:val="005A5185"/>
    <w:rsid w:val="005B0B35"/>
    <w:rsid w:val="005B7211"/>
    <w:rsid w:val="005C4150"/>
    <w:rsid w:val="005C4823"/>
    <w:rsid w:val="005C4C5F"/>
    <w:rsid w:val="005C6CB1"/>
    <w:rsid w:val="005D7657"/>
    <w:rsid w:val="0060311F"/>
    <w:rsid w:val="0060468E"/>
    <w:rsid w:val="00604AED"/>
    <w:rsid w:val="00607EBB"/>
    <w:rsid w:val="00620EB9"/>
    <w:rsid w:val="0063449C"/>
    <w:rsid w:val="00634E16"/>
    <w:rsid w:val="006360F0"/>
    <w:rsid w:val="006377E1"/>
    <w:rsid w:val="00640A91"/>
    <w:rsid w:val="00644039"/>
    <w:rsid w:val="00644D91"/>
    <w:rsid w:val="0065064E"/>
    <w:rsid w:val="0065600B"/>
    <w:rsid w:val="00667893"/>
    <w:rsid w:val="00676501"/>
    <w:rsid w:val="006913E8"/>
    <w:rsid w:val="006930F7"/>
    <w:rsid w:val="006948C4"/>
    <w:rsid w:val="006A5B94"/>
    <w:rsid w:val="006B0932"/>
    <w:rsid w:val="006B16FB"/>
    <w:rsid w:val="006D5835"/>
    <w:rsid w:val="006E172B"/>
    <w:rsid w:val="006F67C7"/>
    <w:rsid w:val="00703ADF"/>
    <w:rsid w:val="00707DE7"/>
    <w:rsid w:val="00720569"/>
    <w:rsid w:val="00720598"/>
    <w:rsid w:val="00734F97"/>
    <w:rsid w:val="00742841"/>
    <w:rsid w:val="007514E0"/>
    <w:rsid w:val="00754D6B"/>
    <w:rsid w:val="007607DA"/>
    <w:rsid w:val="0076093E"/>
    <w:rsid w:val="007661D9"/>
    <w:rsid w:val="00773701"/>
    <w:rsid w:val="00795213"/>
    <w:rsid w:val="00796FEE"/>
    <w:rsid w:val="007B3365"/>
    <w:rsid w:val="007C063A"/>
    <w:rsid w:val="007C483C"/>
    <w:rsid w:val="007D5C5D"/>
    <w:rsid w:val="007E519B"/>
    <w:rsid w:val="007E610C"/>
    <w:rsid w:val="007F5706"/>
    <w:rsid w:val="007F7325"/>
    <w:rsid w:val="00804F13"/>
    <w:rsid w:val="00806DCB"/>
    <w:rsid w:val="0080722A"/>
    <w:rsid w:val="00810138"/>
    <w:rsid w:val="008278BC"/>
    <w:rsid w:val="008304C8"/>
    <w:rsid w:val="00836903"/>
    <w:rsid w:val="00837BF8"/>
    <w:rsid w:val="008409B1"/>
    <w:rsid w:val="00851106"/>
    <w:rsid w:val="00860DE5"/>
    <w:rsid w:val="00863259"/>
    <w:rsid w:val="00877A07"/>
    <w:rsid w:val="00885BE3"/>
    <w:rsid w:val="008A2BF0"/>
    <w:rsid w:val="008A4893"/>
    <w:rsid w:val="008A67A7"/>
    <w:rsid w:val="008C2896"/>
    <w:rsid w:val="008C5189"/>
    <w:rsid w:val="008D032A"/>
    <w:rsid w:val="008E4EB7"/>
    <w:rsid w:val="008E5001"/>
    <w:rsid w:val="008F3AB4"/>
    <w:rsid w:val="009009B0"/>
    <w:rsid w:val="00907341"/>
    <w:rsid w:val="009170C1"/>
    <w:rsid w:val="00924946"/>
    <w:rsid w:val="00924A60"/>
    <w:rsid w:val="00924C7B"/>
    <w:rsid w:val="00931EB3"/>
    <w:rsid w:val="00957B46"/>
    <w:rsid w:val="009866B1"/>
    <w:rsid w:val="00991854"/>
    <w:rsid w:val="00991C8D"/>
    <w:rsid w:val="00994714"/>
    <w:rsid w:val="00995A5F"/>
    <w:rsid w:val="00996609"/>
    <w:rsid w:val="009A039F"/>
    <w:rsid w:val="009B07E4"/>
    <w:rsid w:val="009B6A87"/>
    <w:rsid w:val="009B72F9"/>
    <w:rsid w:val="009C56EE"/>
    <w:rsid w:val="009D15E4"/>
    <w:rsid w:val="009D79CD"/>
    <w:rsid w:val="009E4734"/>
    <w:rsid w:val="009E5DEF"/>
    <w:rsid w:val="009F0F71"/>
    <w:rsid w:val="00A049BF"/>
    <w:rsid w:val="00A05196"/>
    <w:rsid w:val="00A11B2B"/>
    <w:rsid w:val="00A30E08"/>
    <w:rsid w:val="00A32DDE"/>
    <w:rsid w:val="00A365E8"/>
    <w:rsid w:val="00A37EBD"/>
    <w:rsid w:val="00A43DD0"/>
    <w:rsid w:val="00A43E9D"/>
    <w:rsid w:val="00A6335E"/>
    <w:rsid w:val="00A6636E"/>
    <w:rsid w:val="00A75C8D"/>
    <w:rsid w:val="00A826C9"/>
    <w:rsid w:val="00A973E1"/>
    <w:rsid w:val="00AB0BCE"/>
    <w:rsid w:val="00AC4BD7"/>
    <w:rsid w:val="00AC4DB9"/>
    <w:rsid w:val="00AD2A30"/>
    <w:rsid w:val="00AD3D39"/>
    <w:rsid w:val="00AD4D3F"/>
    <w:rsid w:val="00AE4A55"/>
    <w:rsid w:val="00AE5DC7"/>
    <w:rsid w:val="00AF1850"/>
    <w:rsid w:val="00B0062C"/>
    <w:rsid w:val="00B01B79"/>
    <w:rsid w:val="00B12D9D"/>
    <w:rsid w:val="00B156DF"/>
    <w:rsid w:val="00B20CBD"/>
    <w:rsid w:val="00B21253"/>
    <w:rsid w:val="00B310EF"/>
    <w:rsid w:val="00B31988"/>
    <w:rsid w:val="00B37CEF"/>
    <w:rsid w:val="00B45194"/>
    <w:rsid w:val="00B51079"/>
    <w:rsid w:val="00B54AC0"/>
    <w:rsid w:val="00B623B4"/>
    <w:rsid w:val="00B70F97"/>
    <w:rsid w:val="00B7636D"/>
    <w:rsid w:val="00B76792"/>
    <w:rsid w:val="00B91AE6"/>
    <w:rsid w:val="00B9648E"/>
    <w:rsid w:val="00B97E27"/>
    <w:rsid w:val="00BA71C2"/>
    <w:rsid w:val="00BC0F42"/>
    <w:rsid w:val="00BC34BE"/>
    <w:rsid w:val="00BD0DC6"/>
    <w:rsid w:val="00BD1DEF"/>
    <w:rsid w:val="00BE013E"/>
    <w:rsid w:val="00BE48C4"/>
    <w:rsid w:val="00BE4A01"/>
    <w:rsid w:val="00BF5433"/>
    <w:rsid w:val="00C033E6"/>
    <w:rsid w:val="00C04C68"/>
    <w:rsid w:val="00C139FE"/>
    <w:rsid w:val="00C14080"/>
    <w:rsid w:val="00C33B8F"/>
    <w:rsid w:val="00C33D02"/>
    <w:rsid w:val="00C416AE"/>
    <w:rsid w:val="00C47B83"/>
    <w:rsid w:val="00C56655"/>
    <w:rsid w:val="00C619A2"/>
    <w:rsid w:val="00C6240C"/>
    <w:rsid w:val="00C63E4A"/>
    <w:rsid w:val="00C73013"/>
    <w:rsid w:val="00C7341D"/>
    <w:rsid w:val="00C91453"/>
    <w:rsid w:val="00C91A9B"/>
    <w:rsid w:val="00CA6BCD"/>
    <w:rsid w:val="00CB51B0"/>
    <w:rsid w:val="00CB783A"/>
    <w:rsid w:val="00CD336C"/>
    <w:rsid w:val="00CD57CC"/>
    <w:rsid w:val="00CD7C53"/>
    <w:rsid w:val="00CE2904"/>
    <w:rsid w:val="00CE5117"/>
    <w:rsid w:val="00CF2460"/>
    <w:rsid w:val="00CF5B75"/>
    <w:rsid w:val="00D000A3"/>
    <w:rsid w:val="00D0759D"/>
    <w:rsid w:val="00D10064"/>
    <w:rsid w:val="00D32796"/>
    <w:rsid w:val="00D40162"/>
    <w:rsid w:val="00D57B9D"/>
    <w:rsid w:val="00D63429"/>
    <w:rsid w:val="00D63A4F"/>
    <w:rsid w:val="00D64754"/>
    <w:rsid w:val="00D702BF"/>
    <w:rsid w:val="00D702C5"/>
    <w:rsid w:val="00D73F97"/>
    <w:rsid w:val="00D7776E"/>
    <w:rsid w:val="00D77926"/>
    <w:rsid w:val="00D913B2"/>
    <w:rsid w:val="00D93507"/>
    <w:rsid w:val="00DA0ECD"/>
    <w:rsid w:val="00DA4AE4"/>
    <w:rsid w:val="00DA5299"/>
    <w:rsid w:val="00DB1DA9"/>
    <w:rsid w:val="00DB62A9"/>
    <w:rsid w:val="00DC79B8"/>
    <w:rsid w:val="00DD1B27"/>
    <w:rsid w:val="00DD3B48"/>
    <w:rsid w:val="00DE0B30"/>
    <w:rsid w:val="00DE0E1D"/>
    <w:rsid w:val="00DE5CD9"/>
    <w:rsid w:val="00DF1A3C"/>
    <w:rsid w:val="00DF22C4"/>
    <w:rsid w:val="00E01D6B"/>
    <w:rsid w:val="00E10E33"/>
    <w:rsid w:val="00E12200"/>
    <w:rsid w:val="00E14A42"/>
    <w:rsid w:val="00E16917"/>
    <w:rsid w:val="00E201E0"/>
    <w:rsid w:val="00E20B50"/>
    <w:rsid w:val="00E21C08"/>
    <w:rsid w:val="00E36E34"/>
    <w:rsid w:val="00E40E2F"/>
    <w:rsid w:val="00E41E45"/>
    <w:rsid w:val="00E42D66"/>
    <w:rsid w:val="00E52238"/>
    <w:rsid w:val="00E53489"/>
    <w:rsid w:val="00E567E1"/>
    <w:rsid w:val="00E615C1"/>
    <w:rsid w:val="00E82C60"/>
    <w:rsid w:val="00E86BEF"/>
    <w:rsid w:val="00E95629"/>
    <w:rsid w:val="00EA5442"/>
    <w:rsid w:val="00EC0F72"/>
    <w:rsid w:val="00EC1BD8"/>
    <w:rsid w:val="00EC45CF"/>
    <w:rsid w:val="00EC5411"/>
    <w:rsid w:val="00EC7B83"/>
    <w:rsid w:val="00ED27EA"/>
    <w:rsid w:val="00EE181B"/>
    <w:rsid w:val="00EE297C"/>
    <w:rsid w:val="00EF0F34"/>
    <w:rsid w:val="00EF2E3F"/>
    <w:rsid w:val="00EF69BF"/>
    <w:rsid w:val="00F01CD3"/>
    <w:rsid w:val="00F02D73"/>
    <w:rsid w:val="00F12CFB"/>
    <w:rsid w:val="00F13E03"/>
    <w:rsid w:val="00F14BE7"/>
    <w:rsid w:val="00F166FC"/>
    <w:rsid w:val="00F357B7"/>
    <w:rsid w:val="00F40E95"/>
    <w:rsid w:val="00F424CE"/>
    <w:rsid w:val="00F46956"/>
    <w:rsid w:val="00F734FB"/>
    <w:rsid w:val="00F73C79"/>
    <w:rsid w:val="00F753B5"/>
    <w:rsid w:val="00F7673C"/>
    <w:rsid w:val="00F81B1B"/>
    <w:rsid w:val="00F93BB7"/>
    <w:rsid w:val="00FA2585"/>
    <w:rsid w:val="00FA7C3A"/>
    <w:rsid w:val="00FB6425"/>
    <w:rsid w:val="00FC2941"/>
    <w:rsid w:val="00FC2D20"/>
    <w:rsid w:val="00FC30AE"/>
    <w:rsid w:val="00FE15BE"/>
    <w:rsid w:val="00FE6FDA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79C85"/>
  <w15:chartTrackingRefBased/>
  <w15:docId w15:val="{5A067806-6132-43FB-A274-FBD488AA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189"/>
  </w:style>
  <w:style w:type="paragraph" w:styleId="Heading1">
    <w:name w:val="heading 1"/>
    <w:basedOn w:val="Normal"/>
    <w:next w:val="Normal"/>
    <w:link w:val="Heading1Char"/>
    <w:uiPriority w:val="9"/>
    <w:qFormat/>
    <w:rsid w:val="00A43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139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13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81B"/>
  </w:style>
  <w:style w:type="paragraph" w:styleId="Footer">
    <w:name w:val="footer"/>
    <w:basedOn w:val="Normal"/>
    <w:link w:val="FooterChar"/>
    <w:uiPriority w:val="99"/>
    <w:unhideWhenUsed/>
    <w:rsid w:val="00EE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81B"/>
  </w:style>
  <w:style w:type="character" w:styleId="Hyperlink">
    <w:name w:val="Hyperlink"/>
    <w:basedOn w:val="DefaultParagraphFont"/>
    <w:uiPriority w:val="99"/>
    <w:unhideWhenUsed/>
    <w:rsid w:val="00AE5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D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5DE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8C51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2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actor-invisible-space">
    <w:name w:val="redactor-invisible-space"/>
    <w:basedOn w:val="DefaultParagraphFont"/>
    <w:rsid w:val="00E201E0"/>
  </w:style>
  <w:style w:type="character" w:customStyle="1" w:styleId="im">
    <w:name w:val="im"/>
    <w:basedOn w:val="DefaultParagraphFont"/>
    <w:rsid w:val="003C5389"/>
  </w:style>
  <w:style w:type="paragraph" w:styleId="ListParagraph">
    <w:name w:val="List Paragraph"/>
    <w:basedOn w:val="Normal"/>
    <w:uiPriority w:val="34"/>
    <w:qFormat/>
    <w:rsid w:val="00400EC8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139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39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A43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age-headerauthor-item">
    <w:name w:val="page-header__author-item"/>
    <w:basedOn w:val="DefaultParagraphFont"/>
    <w:rsid w:val="009C56EE"/>
  </w:style>
  <w:style w:type="numbering" w:customStyle="1" w:styleId="CurrentList1">
    <w:name w:val="Current List1"/>
    <w:uiPriority w:val="99"/>
    <w:rsid w:val="005C4C5F"/>
    <w:pPr>
      <w:numPr>
        <w:numId w:val="22"/>
      </w:numPr>
    </w:pPr>
  </w:style>
  <w:style w:type="character" w:customStyle="1" w:styleId="quote-author">
    <w:name w:val="quote-author"/>
    <w:basedOn w:val="DefaultParagraphFont"/>
    <w:rsid w:val="00FE6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6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8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311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799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1421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2544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045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9240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4169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2288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40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4938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242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030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579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6739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394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5326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1419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5632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472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0890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20452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8010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578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3682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9597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313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2141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0675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441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8211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791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611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932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  <w:div w:id="1372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geography.com/content/007221-higher-urban-densities-associated-with-worst-housing-affordabilit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48hills.org/2025/03/new-study-by-fed-economists-directly-contradicts-yimby-narrative-on-housing-price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ber.org/papers/w335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o.org/commentary/density-makes-housing-less-affordable-not-mor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Lorber</dc:creator>
  <cp:keywords/>
  <dc:description/>
  <cp:lastModifiedBy>Susan Kirsch</cp:lastModifiedBy>
  <cp:revision>3</cp:revision>
  <cp:lastPrinted>2025-07-10T17:46:00Z</cp:lastPrinted>
  <dcterms:created xsi:type="dcterms:W3CDTF">2025-07-12T17:58:00Z</dcterms:created>
  <dcterms:modified xsi:type="dcterms:W3CDTF">2025-07-12T17:59:00Z</dcterms:modified>
</cp:coreProperties>
</file>